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  <w:sz w:val="52"/>
          <w:szCs w:val="52"/>
        </w:rPr>
      </w:pPr>
      <w:r>
        <w:rPr>
          <w:rFonts w:cs="Times New Roman"/>
          <w:sz w:val="52"/>
          <w:szCs w:val="52"/>
        </w:rPr>
        <w:t xml:space="preserve">Получение доступа к системе</w:t>
      </w:r>
      <w:r>
        <w:rPr>
          <w:rFonts w:cs="Times New Roman"/>
          <w:sz w:val="52"/>
          <w:szCs w:val="52"/>
        </w:rPr>
        <w:t xml:space="preserve"> бизнес мониторинга</w:t>
      </w:r>
      <w:r>
        <w:rPr>
          <w:rFonts w:cs="Times New Roman"/>
          <w:sz w:val="52"/>
          <w:szCs w:val="52"/>
        </w:rPr>
        <w:t xml:space="preserve"> </w:t>
      </w:r>
      <w:r>
        <w:rPr>
          <w:rFonts w:cs="Times New Roman"/>
          <w:sz w:val="52"/>
          <w:szCs w:val="52"/>
        </w:rPr>
        <w:t xml:space="preserve">Г</w:t>
      </w:r>
      <w:r>
        <w:rPr>
          <w:rFonts w:cs="Times New Roman"/>
          <w:sz w:val="52"/>
          <w:szCs w:val="52"/>
        </w:rPr>
        <w:t xml:space="preserve">осуслуг</w:t>
      </w:r>
    </w:p>
    <w:p>
      <w:pPr>
        <w:spacing w:line="276" w:lineRule="auto"/>
        <w:jc w:val="center"/>
        <w:rPr>
          <w:rFonts w:cs="Times New Roman"/>
          <w:lang w:eastAsia="en-US"/>
        </w:rPr>
      </w:pPr>
      <w:r>
        <w:rPr>
          <w:rFonts w:cs="Times New Roman"/>
          <w:lang w:eastAsia="en-US"/>
        </w:rPr>
        <w:br w:type="page" w:clear="all"/>
      </w:r>
      <w:bookmarkStart w:id="0" w:name="_Toc96534487"/>
      <w:bookmarkEnd w:id="0"/>
    </w:p>
    <w:p>
      <w:pPr>
        <w:spacing w:line="276" w:lineRule="auto"/>
        <w:rPr>
          <w:rFonts w:cs="Times New Roman"/>
          <w:lang w:eastAsia="en-US"/>
        </w:rPr>
        <w:sectPr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  <w:titlePg/>
        </w:sectPr>
      </w:pPr>
    </w:p>
    <w:p>
      <w:pPr>
        <w:pStyle w:val="2"/>
        <w:numPr>
          <w:numId w:val="10"/>
          <w:ilvl w:val="0"/>
        </w:numPr>
      </w:pPr>
      <w:bookmarkStart w:id="1" w:name="_Toc96534489"/>
      <w:bookmarkStart w:id="2" w:name="_Toc96534607"/>
      <w:bookmarkStart w:id="3" w:name="_Toc131779594"/>
      <w:r>
        <w:t xml:space="preserve">Доступ к Аналитическому кластеру</w:t>
      </w:r>
      <w:bookmarkEnd w:id="1"/>
      <w:bookmarkEnd w:id="2"/>
      <w:bookmarkEnd w:id="3"/>
    </w:p>
    <w:p>
      <w:pPr>
        <w:pStyle w:val="a0"/>
      </w:pPr>
    </w:p>
    <w:p>
      <w:pPr>
        <w:spacing w:line="240" w:lineRule="auto"/>
        <w:ind w:firstLine="708"/>
        <w:rPr>
          <w:rFonts w:cs="Times New Roman"/>
          <w:szCs w:val="28"/>
        </w:rPr>
      </w:pPr>
      <w:r>
        <w:rPr>
          <w:rFonts w:cs="Times New Roman"/>
        </w:rPr>
        <w:t xml:space="preserve">Для получения доступа необходимо</w:t>
      </w:r>
      <w:r>
        <w:rPr>
          <w:rFonts w:cs="Times New Roman"/>
        </w:rPr>
        <w:t xml:space="preserve"> за</w:t>
      </w:r>
      <w:r>
        <w:rPr>
          <w:rFonts w:cs="Times New Roman"/>
        </w:rPr>
        <w:t xml:space="preserve">полнить </w:t>
      </w:r>
      <w:hyperlink r:id="rId12" w:history="1">
        <w:r>
          <w:rPr>
            <w:rStyle w:val="ab"/>
            <w:rFonts w:cs="Times New Roman"/>
          </w:rPr>
          <w:t xml:space="preserve">форму</w:t>
        </w:r>
      </w:hyperlink>
      <w:r>
        <w:rPr>
          <w:rFonts w:cs="Times New Roman"/>
        </w:rPr>
        <w:t xml:space="preserve"> </w:t>
      </w:r>
      <w:r>
        <w:rPr>
          <w:rFonts w:cs="Times New Roman"/>
          <w:szCs w:val="28"/>
        </w:rPr>
        <w:t xml:space="preserve">и отправить </w:t>
      </w:r>
      <w:r>
        <w:rPr>
          <w:rFonts w:cs="Times New Roman"/>
          <w:szCs w:val="28"/>
        </w:rPr>
        <w:t xml:space="preserve">посредством </w:t>
      </w:r>
      <w:r>
        <w:rPr>
          <w:rFonts w:cs="Times New Roman"/>
          <w:szCs w:val="28"/>
        </w:rPr>
        <w:t xml:space="preserve">федеральной государственной информационной систем</w:t>
      </w:r>
      <w:r>
        <w:rPr>
          <w:rFonts w:cs="Times New Roman"/>
          <w:szCs w:val="28"/>
        </w:rPr>
        <w:t xml:space="preserve">ы</w:t>
      </w:r>
      <w:r>
        <w:rPr>
          <w:rFonts w:cs="Times New Roman"/>
          <w:szCs w:val="28"/>
        </w:rPr>
        <w:t xml:space="preserve"> «Федеральный ситуационный центр электронного правительства»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</w:t>
      </w:r>
      <w:hyperlink r:id="rId13" w:history="1">
        <w:r>
          <w:rPr>
            <w:rStyle w:val="ab"/>
            <w:rFonts w:cs="Times New Roman"/>
            <w:szCs w:val="28"/>
          </w:rPr>
          <w:t xml:space="preserve">https://sc.digital.gov.ru/</w:t>
        </w:r>
      </w:hyperlink>
      <w:r>
        <w:rPr>
          <w:rStyle w:val="ab"/>
          <w:rFonts w:cs="Times New Roman"/>
          <w:color w:val="000000" w:themeColor="text1"/>
          <w:szCs w:val="28"/>
          <w:u w:val="none"/>
        </w:rPr>
        <w:t xml:space="preserve">)</w:t>
      </w:r>
      <w:r>
        <w:rPr>
          <w:rFonts w:cs="Times New Roman"/>
          <w:szCs w:val="28"/>
        </w:rPr>
        <w:t xml:space="preserve"> или написать на почту </w:t>
      </w:r>
      <w:hyperlink r:id="rId14" w:history="1">
        <w:r>
          <w:rPr>
            <w:rStyle w:val="ab"/>
            <w:rFonts w:cs="Times New Roman"/>
            <w:szCs w:val="28"/>
          </w:rPr>
          <w:t xml:space="preserve">sd@sc.digital.gov.ru</w:t>
        </w:r>
      </w:hyperlink>
      <w:r>
        <w:rPr>
          <w:rFonts w:cs="Times New Roman"/>
          <w:szCs w:val="28"/>
        </w:rPr>
        <w:t xml:space="preserve">.</w:t>
      </w:r>
    </w:p>
    <w:p>
      <w:pPr>
        <w:spacing w:line="240" w:lineRule="auto"/>
        <w:rPr>
          <w:rFonts w:cs="Times New Roman"/>
          <w:szCs w:val="28"/>
        </w:rPr>
      </w:pPr>
    </w:p>
    <w:p>
      <w:pPr>
        <w:pStyle w:val="a5"/>
        <w:spacing w:line="240" w:lineRule="auto"/>
        <w:ind w:left="0" w:firstLine="708"/>
        <w:rPr>
          <w:szCs w:val="28"/>
        </w:rPr>
      </w:pPr>
      <w:bookmarkStart w:id="4" w:name="_Toc96534490"/>
      <w:bookmarkStart w:id="5" w:name="_Toc96534608"/>
      <w:r>
        <w:rPr>
          <w:szCs w:val="28"/>
        </w:rPr>
        <w:t xml:space="preserve">Вариант 1. Направление заявки</w:t>
      </w:r>
      <w:r>
        <w:rPr>
          <w:szCs w:val="28"/>
        </w:rPr>
        <w:t xml:space="preserve"> через Федеральный ситуационный центр электронного правительства </w:t>
      </w:r>
      <w:hyperlink r:id="rId15" w:history="1">
        <w:r>
          <w:rPr>
            <w:rStyle w:val="ab"/>
            <w:szCs w:val="28"/>
          </w:rPr>
          <w:t xml:space="preserve">https://sc.digital.gov.ru/</w:t>
        </w:r>
      </w:hyperlink>
      <w:r>
        <w:rPr>
          <w:rStyle w:val="ab"/>
          <w:color w:val="000000" w:themeColor="text1"/>
          <w:szCs w:val="28"/>
          <w:u w:val="none"/>
        </w:rPr>
        <w:t xml:space="preserve">.</w:t>
      </w:r>
    </w:p>
    <w:p>
      <w:pPr>
        <w:pStyle w:val="a5"/>
        <w:spacing w:line="240" w:lineRule="auto"/>
        <w:ind w:left="0"/>
        <w:rPr>
          <w:szCs w:val="28"/>
        </w:rPr>
      </w:pPr>
    </w:p>
    <w:p>
      <w:pPr>
        <w:spacing w:line="240" w:lineRule="auto"/>
        <w:ind w:hanging="142"/>
        <w:jc w:val="center"/>
        <w:rPr>
          <w:szCs w:val="28"/>
        </w:rP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2914650"/>
                <wp:effectExtent l="0" t="0" r="9525" b="0"/>
                <wp:docPr id="1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1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934075" cy="291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25pt;height:229.5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>
      <w:pPr>
        <w:spacing w:line="240" w:lineRule="auto"/>
        <w:ind w:hanging="142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 xml:space="preserve">Рисунок 1. </w:t>
      </w:r>
      <w:r>
        <w:rPr>
          <w:szCs w:val="28"/>
        </w:rPr>
        <w:t xml:space="preserve">Добавление запроса</w:t>
      </w:r>
    </w:p>
    <w:p>
      <w:pPr>
        <w:pStyle w:val="a5"/>
        <w:spacing w:line="240" w:lineRule="auto"/>
        <w:ind w:left="0"/>
        <w:rPr>
          <w:szCs w:val="28"/>
        </w:rPr>
      </w:pPr>
    </w:p>
    <w:p>
      <w:pPr>
        <w:spacing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корректной м</w:t>
      </w:r>
      <w:r>
        <w:rPr>
          <w:rFonts w:cs="Times New Roman"/>
          <w:szCs w:val="28"/>
        </w:rPr>
        <w:t xml:space="preserve">аршрутизация заявки</w:t>
      </w:r>
      <w:r>
        <w:rPr>
          <w:rFonts w:cs="Times New Roman"/>
          <w:szCs w:val="28"/>
        </w:rPr>
        <w:t xml:space="preserve"> необходимо указать следующие параметры</w:t>
      </w:r>
      <w:r>
        <w:rPr>
          <w:rFonts w:cs="Times New Roman"/>
          <w:szCs w:val="28"/>
        </w:rPr>
        <w:t xml:space="preserve">: Поддержка ИС ИЭП – Регламентная процедура – </w:t>
      </w:r>
      <w:r>
        <w:rPr>
          <w:rFonts w:cs="Times New Roman"/>
          <w:szCs w:val="28"/>
        </w:rPr>
        <w:t xml:space="preserve">Аналитический кластер</w:t>
      </w:r>
      <w:r>
        <w:rPr>
          <w:rFonts w:cs="Times New Roman"/>
          <w:szCs w:val="28"/>
        </w:rPr>
        <w:t xml:space="preserve"> – П</w:t>
      </w:r>
      <w:r>
        <w:rPr>
          <w:rFonts w:cs="Times New Roman"/>
          <w:szCs w:val="28"/>
        </w:rPr>
        <w:t xml:space="preserve">одключение участников – Подключение к </w:t>
      </w:r>
      <w:r>
        <w:rPr>
          <w:rFonts w:cs="Times New Roman"/>
          <w:szCs w:val="28"/>
        </w:rPr>
        <w:t xml:space="preserve">дашбордам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РТАналитики</w:t>
      </w:r>
      <w:r>
        <w:rPr>
          <w:rFonts w:cs="Times New Roman"/>
          <w:szCs w:val="28"/>
        </w:rPr>
        <w:t xml:space="preserve">. </w:t>
      </w:r>
    </w:p>
    <w:p>
      <w:pPr>
        <w:spacing w:line="240" w:lineRule="auto"/>
        <w:ind w:firstLine="708"/>
        <w:rPr>
          <w:rFonts w:cs="Times New Roman"/>
          <w:color w:val="auto"/>
          <w:szCs w:val="28"/>
        </w:rPr>
      </w:pPr>
      <w:r>
        <w:rPr>
          <w:rFonts w:cs="Times New Roman"/>
          <w:szCs w:val="28"/>
        </w:rPr>
        <w:t xml:space="preserve">Во вложение к заявке необходимо прикрепить заполненную </w:t>
      </w:r>
      <w:r>
        <w:rPr>
          <w:rFonts w:cs="Times New Roman"/>
          <w:szCs w:val="28"/>
        </w:rPr>
        <w:t xml:space="preserve">форму на доступ к бизнес мониторин</w:t>
      </w:r>
      <w:r>
        <w:rPr>
          <w:rFonts w:cs="Times New Roman"/>
          <w:color w:val="auto"/>
          <w:szCs w:val="28"/>
        </w:rPr>
        <w:t xml:space="preserve">гу</w:t>
      </w:r>
      <w:r>
        <w:rPr>
          <w:rFonts w:cs="Times New Roman"/>
          <w:color w:val="auto"/>
          <w:szCs w:val="28"/>
        </w:rPr>
        <w:t xml:space="preserve">.</w:t>
      </w:r>
      <w:r>
        <w:rPr>
          <w:rFonts w:cs="Times New Roman"/>
          <w:color w:val="auto"/>
          <w:szCs w:val="28"/>
        </w:rPr>
        <w:t xml:space="preserve"> Скачать форму можно по </w:t>
      </w:r>
      <w:hyperlink r:id="rId17" w:history="1">
        <w:r>
          <w:rPr>
            <w:rStyle w:val="ab"/>
            <w:rFonts w:cs="Times New Roman"/>
            <w:color w:val="auto"/>
            <w:szCs w:val="28"/>
          </w:rPr>
          <w:t xml:space="preserve">ссы</w:t>
        </w:r>
        <w:r>
          <w:rPr>
            <w:rStyle w:val="ab"/>
            <w:rFonts w:cs="Times New Roman"/>
            <w:color w:val="auto"/>
            <w:szCs w:val="28"/>
          </w:rPr>
          <w:t xml:space="preserve">л</w:t>
        </w:r>
        <w:r>
          <w:rPr>
            <w:rStyle w:val="ab"/>
            <w:rFonts w:cs="Times New Roman"/>
            <w:color w:val="auto"/>
            <w:szCs w:val="28"/>
          </w:rPr>
          <w:t xml:space="preserve">ке</w:t>
        </w:r>
      </w:hyperlink>
      <w:r>
        <w:rPr>
          <w:rFonts w:cs="Times New Roman"/>
          <w:color w:val="auto"/>
          <w:szCs w:val="28"/>
        </w:rPr>
        <w:t xml:space="preserve">.</w:t>
      </w:r>
    </w:p>
    <w:p>
      <w:pPr>
        <w:spacing w:line="240" w:lineRule="auto"/>
        <w:ind w:firstLine="708"/>
        <w:rPr>
          <w:rFonts w:cs="Times New Roman"/>
          <w:color w:val="auto"/>
          <w:szCs w:val="28"/>
        </w:rPr>
      </w:pPr>
      <w:r>
        <w:rPr>
          <w:rFonts w:cs="Times New Roman"/>
          <w:color w:val="auto"/>
          <w:szCs w:val="28"/>
        </w:rPr>
        <w:t xml:space="preserve">Поле СНИЛС</w:t>
      </w:r>
      <w:r>
        <w:rPr>
          <w:rFonts w:cs="Times New Roman"/>
          <w:color w:val="auto"/>
          <w:szCs w:val="28"/>
        </w:rPr>
        <w:t xml:space="preserve">/Личный номер телефона, привязанный к ЕСИА,</w:t>
      </w:r>
      <w:r>
        <w:rPr>
          <w:rFonts w:cs="Times New Roman"/>
          <w:color w:val="auto"/>
          <w:szCs w:val="28"/>
        </w:rPr>
        <w:t xml:space="preserve"> </w:t>
      </w:r>
      <w:r>
        <w:rPr>
          <w:rFonts w:cs="Times New Roman"/>
          <w:b/>
          <w:bCs/>
          <w:color w:val="auto"/>
          <w:szCs w:val="28"/>
        </w:rPr>
        <w:t xml:space="preserve">обязательно</w:t>
      </w:r>
      <w:r>
        <w:rPr>
          <w:rFonts w:cs="Times New Roman"/>
          <w:color w:val="auto"/>
          <w:szCs w:val="28"/>
        </w:rPr>
        <w:t xml:space="preserve"> для заполнения пользователям, имеющим локальную сеть без доступа в интернет. </w:t>
      </w:r>
    </w:p>
    <w:p>
      <w:pPr>
        <w:spacing w:line="240" w:lineRule="auto"/>
        <w:ind w:firstLine="708"/>
        <w:rPr>
          <w:rFonts w:cs="Times New Roman"/>
          <w:color w:val="auto"/>
          <w:szCs w:val="28"/>
          <w:shd w:val="clear" w:color="auto" w:fill="ffffff"/>
        </w:rPr>
      </w:pPr>
      <w:r>
        <w:rPr>
          <w:rFonts w:cs="Times New Roman"/>
          <w:color w:val="auto"/>
          <w:szCs w:val="28"/>
        </w:rPr>
        <w:t xml:space="preserve">Обратите внимание, что </w:t>
      </w:r>
      <w:r>
        <w:rPr>
          <w:rFonts w:cs="Times New Roman"/>
          <w:color w:val="auto"/>
          <w:szCs w:val="28"/>
          <w:shd w:val="clear" w:color="auto" w:fill="ffffff"/>
        </w:rPr>
        <w:t xml:space="preserve">необходимо указать индивидуальную почту сотрудника, размещенную в домене организации. Регистрация пользователей в РТА по почтам на общедоступных доменах (@mail.</w:t>
      </w:r>
      <w:r>
        <w:rPr>
          <w:rFonts w:cs="Times New Roman"/>
          <w:color w:val="auto"/>
          <w:szCs w:val="28"/>
          <w:shd w:val="clear" w:color="auto" w:fill="ffffff"/>
          <w:lang w:val="en-US"/>
        </w:rPr>
        <w:t xml:space="preserve">ru</w:t>
      </w:r>
      <w:r>
        <w:rPr>
          <w:rFonts w:cs="Times New Roman"/>
          <w:color w:val="auto"/>
          <w:szCs w:val="28"/>
          <w:shd w:val="clear" w:color="auto" w:fill="ffffff"/>
        </w:rPr>
        <w:t xml:space="preserve">, @yandex.</w:t>
      </w:r>
      <w:r>
        <w:rPr>
          <w:rFonts w:cs="Times New Roman"/>
          <w:color w:val="auto"/>
          <w:szCs w:val="28"/>
          <w:shd w:val="clear" w:color="auto" w:fill="ffffff"/>
          <w:lang w:val="en-US"/>
        </w:rPr>
        <w:t xml:space="preserve">ru</w:t>
      </w:r>
      <w:r>
        <w:rPr>
          <w:rFonts w:cs="Times New Roman"/>
          <w:color w:val="auto"/>
          <w:szCs w:val="28"/>
          <w:shd w:val="clear" w:color="auto" w:fill="ffffff"/>
        </w:rPr>
        <w:t xml:space="preserve">, @gmail.</w:t>
      </w:r>
      <w:r>
        <w:rPr>
          <w:rFonts w:cs="Times New Roman"/>
          <w:color w:val="auto"/>
          <w:szCs w:val="28"/>
          <w:shd w:val="clear" w:color="auto" w:fill="ffffff"/>
          <w:lang w:val="en-US"/>
        </w:rPr>
        <w:t xml:space="preserve">com</w:t>
      </w:r>
      <w:r>
        <w:rPr>
          <w:rFonts w:cs="Times New Roman"/>
          <w:color w:val="auto"/>
          <w:szCs w:val="28"/>
          <w:shd w:val="clear" w:color="auto" w:fill="ffffff"/>
        </w:rPr>
        <w:t xml:space="preserve"> и т.п) не осуществляется.</w:t>
      </w:r>
    </w:p>
    <w:p>
      <w:pPr>
        <w:spacing w:line="240" w:lineRule="auto"/>
        <w:ind w:firstLine="708"/>
        <w:rPr>
          <w:rFonts w:cs="Times New Roman"/>
          <w:szCs w:val="28"/>
        </w:rPr>
      </w:pPr>
    </w:p>
    <w:p>
      <w:pPr>
        <w:spacing w:line="240" w:lineRule="auto"/>
        <w:rPr>
          <w:rFonts w:cs="Times New Roman"/>
          <w:szCs w:val="28"/>
        </w:rPr>
      </w:pPr>
    </w:p>
    <w:p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2211070"/>
                <wp:effectExtent l="0" t="0" r="3810" b="0"/>
                <wp:docPr id="2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939790" cy="2211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0pt;height:174.1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Рисунок 2. </w:t>
      </w:r>
      <w:r>
        <w:rPr>
          <w:rFonts w:cs="Times New Roman"/>
          <w:szCs w:val="28"/>
        </w:rPr>
        <w:t xml:space="preserve">Маршрутизация заявки</w:t>
      </w:r>
    </w:p>
    <w:p>
      <w:pPr>
        <w:spacing w:line="240" w:lineRule="auto"/>
        <w:rPr>
          <w:rFonts w:cs="Times New Roman"/>
          <w:szCs w:val="28"/>
        </w:rPr>
      </w:pPr>
    </w:p>
    <w:p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132993"/>
                <wp:effectExtent l="0" t="0" r="3175" b="0"/>
                <wp:docPr id="3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940425" cy="3132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246.69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Рисунок 3. </w:t>
      </w:r>
      <w:r>
        <w:rPr>
          <w:rFonts w:cs="Times New Roman"/>
          <w:szCs w:val="28"/>
        </w:rPr>
        <w:t xml:space="preserve">Добавление вложения к заявке</w:t>
      </w:r>
    </w:p>
    <w:p>
      <w:pPr>
        <w:spacing w:line="240" w:lineRule="auto"/>
        <w:rPr>
          <w:rFonts w:cs="Times New Roman"/>
          <w:szCs w:val="28"/>
        </w:rPr>
      </w:pPr>
    </w:p>
    <w:p>
      <w:pPr>
        <w:pStyle w:val="a5"/>
        <w:spacing w:line="240" w:lineRule="auto"/>
        <w:ind w:left="0" w:firstLine="708"/>
        <w:rPr>
          <w:szCs w:val="28"/>
        </w:rPr>
      </w:pPr>
      <w:r>
        <w:rPr>
          <w:szCs w:val="28"/>
        </w:rPr>
        <w:t xml:space="preserve">В</w:t>
      </w:r>
      <w:r>
        <w:rPr>
          <w:szCs w:val="28"/>
        </w:rPr>
        <w:t xml:space="preserve">ариант 2. Н</w:t>
      </w:r>
      <w:r>
        <w:rPr>
          <w:szCs w:val="28"/>
        </w:rPr>
        <w:t xml:space="preserve">аправления заявки</w:t>
      </w:r>
      <w:r>
        <w:rPr>
          <w:szCs w:val="28"/>
        </w:rPr>
        <w:t xml:space="preserve"> по почте </w:t>
      </w:r>
      <w:hyperlink r:id="rId20" w:history="1">
        <w:r>
          <w:rPr>
            <w:rStyle w:val="ab"/>
            <w:szCs w:val="28"/>
          </w:rPr>
          <w:t xml:space="preserve">sd@sc.digital.gov.ru</w:t>
        </w:r>
      </w:hyperlink>
      <w:r>
        <w:rPr>
          <w:szCs w:val="28"/>
        </w:rPr>
        <w:t xml:space="preserve">, к </w:t>
      </w:r>
      <w:r>
        <w:rPr>
          <w:szCs w:val="28"/>
        </w:rPr>
        <w:t xml:space="preserve">письму </w:t>
      </w:r>
      <w:r>
        <w:rPr>
          <w:szCs w:val="28"/>
        </w:rPr>
        <w:t xml:space="preserve">необходимо прикрепить </w:t>
      </w:r>
      <w:r>
        <w:rPr>
          <w:szCs w:val="28"/>
        </w:rPr>
        <w:t xml:space="preserve">заполненную форму</w:t>
      </w:r>
      <w:r>
        <w:rPr>
          <w:szCs w:val="28"/>
        </w:rPr>
        <w:t xml:space="preserve">.</w:t>
      </w:r>
      <w:r>
        <w:rPr>
          <w:szCs w:val="28"/>
        </w:rPr>
        <w:t xml:space="preserve"> В копию письма необходимо поставить</w:t>
      </w:r>
      <w:r>
        <w:rPr>
          <w:szCs w:val="28"/>
        </w:rPr>
        <w:t xml:space="preserve">:</w:t>
      </w:r>
    </w:p>
    <w:p>
      <w:pPr>
        <w:pStyle w:val="a5"/>
        <w:numPr>
          <w:numId w:val="7"/>
          <w:ilvl w:val="0"/>
        </w:numPr>
        <w:spacing w:line="240" w:lineRule="auto"/>
        <w:rPr>
          <w:szCs w:val="28"/>
        </w:rPr>
      </w:pPr>
      <w:hyperlink r:id="rId21" w:history="1">
        <w:r>
          <w:rPr>
            <w:rStyle w:val="ab"/>
            <w:szCs w:val="28"/>
          </w:rPr>
          <w:t xml:space="preserve">a.kuntsevich@digital.gov.ru</w:t>
        </w:r>
      </w:hyperlink>
      <w:r>
        <w:rPr>
          <w:szCs w:val="28"/>
        </w:rPr>
        <w:t xml:space="preserve"> (</w:t>
      </w:r>
      <w:r>
        <w:rPr>
          <w:szCs w:val="28"/>
        </w:rPr>
        <w:t xml:space="preserve">Кунцевич</w:t>
      </w:r>
      <w:r>
        <w:rPr>
          <w:szCs w:val="28"/>
        </w:rPr>
        <w:t xml:space="preserve"> Андрей Вячеславович)</w:t>
      </w:r>
      <w:r>
        <w:rPr>
          <w:szCs w:val="28"/>
        </w:rPr>
        <w:t xml:space="preserve">;</w:t>
      </w:r>
    </w:p>
    <w:p>
      <w:pPr>
        <w:pStyle w:val="a5"/>
        <w:numPr>
          <w:numId w:val="7"/>
          <w:ilvl w:val="0"/>
        </w:numPr>
        <w:spacing w:line="240" w:lineRule="auto"/>
        <w:rPr>
          <w:szCs w:val="28"/>
        </w:rPr>
      </w:pPr>
      <w:r>
        <w:t xml:space="preserve">i.kunin@digital.gov.ru</w:t>
      </w:r>
      <w:r>
        <w:rPr>
          <w:szCs w:val="28"/>
        </w:rPr>
        <w:t xml:space="preserve"> (</w:t>
      </w:r>
      <w:r>
        <w:rPr>
          <w:szCs w:val="28"/>
        </w:rPr>
        <w:t xml:space="preserve">Кунин</w:t>
      </w:r>
      <w:r>
        <w:rPr>
          <w:szCs w:val="28"/>
        </w:rPr>
        <w:t xml:space="preserve"> Иван Александрович</w:t>
      </w:r>
      <w:r>
        <w:rPr>
          <w:szCs w:val="28"/>
        </w:rPr>
        <w:t xml:space="preserve">).</w:t>
      </w:r>
      <w:r>
        <w:t xml:space="preserve"> </w:t>
      </w:r>
    </w:p>
    <w:p>
      <w:pPr>
        <w:spacing w:line="240" w:lineRule="auto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1851025"/>
                <wp:effectExtent l="0" t="0" r="3810" b="0"/>
                <wp:docPr id="4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939790" cy="185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0pt;height:145.75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Рисунок 4. </w:t>
      </w:r>
      <w:r>
        <w:rPr>
          <w:szCs w:val="28"/>
        </w:rPr>
        <w:t xml:space="preserve">Направление заявки по почте</w:t>
      </w:r>
    </w:p>
    <w:p>
      <w:pPr>
        <w:spacing w:line="240" w:lineRule="auto"/>
        <w:rPr>
          <w:rFonts w:cs="Times New Roman"/>
          <w:szCs w:val="28"/>
        </w:rPr>
      </w:pPr>
    </w:p>
    <w:p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Средний срок исполнения заявки </w:t>
      </w:r>
      <w:r>
        <w:rPr>
          <w:b/>
          <w:sz w:val="28"/>
          <w:szCs w:val="28"/>
        </w:rPr>
        <w:t xml:space="preserve">3 рабочих дня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После обработки заявки</w:t>
      </w:r>
      <w:r>
        <w:rPr>
          <w:sz w:val="28"/>
          <w:szCs w:val="28"/>
        </w:rPr>
        <w:t xml:space="preserve"> вам</w:t>
      </w:r>
      <w:r>
        <w:rPr>
          <w:sz w:val="28"/>
          <w:szCs w:val="28"/>
        </w:rPr>
        <w:t xml:space="preserve"> на почту </w:t>
      </w:r>
      <w:r>
        <w:rPr>
          <w:sz w:val="28"/>
          <w:szCs w:val="28"/>
        </w:rPr>
        <w:t xml:space="preserve">придет письмо с доступом к системе.</w:t>
      </w:r>
    </w:p>
    <w:p>
      <w:pPr>
        <w:pStyle w:val="afb"/>
        <w:shd w:val="clear" w:color="auto" w:fill="ffffff"/>
        <w:spacing w:before="0" w:beforeAutospacing="0" w:after="0" w:afterAutospacing="0"/>
        <w:jc w:val="both"/>
        <w:rPr>
          <w:szCs w:val="28"/>
        </w:rPr>
      </w:pPr>
    </w:p>
    <w:p>
      <w:pPr>
        <w:pStyle w:val="af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Важно! </w:t>
      </w:r>
      <w:r>
        <w:rPr>
          <w:b/>
          <w:sz w:val="28"/>
          <w:szCs w:val="28"/>
        </w:rPr>
        <w:t xml:space="preserve">Если при </w:t>
      </w:r>
      <w:r>
        <w:rPr>
          <w:b/>
          <w:sz w:val="28"/>
          <w:szCs w:val="28"/>
        </w:rPr>
        <w:t xml:space="preserve">регистрации  </w:t>
      </w:r>
      <w:r>
        <w:rPr>
          <w:b/>
          <w:sz w:val="28"/>
          <w:szCs w:val="28"/>
        </w:rPr>
        <w:t xml:space="preserve">не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был предоставлен СНИЛС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или личный номер телефона, привязанный к ЕСИА</w:t>
      </w:r>
      <w:r>
        <w:rPr>
          <w:b/>
          <w:sz w:val="28"/>
          <w:szCs w:val="28"/>
        </w:rPr>
        <w:t xml:space="preserve">, то п</w:t>
      </w:r>
      <w:r>
        <w:rPr>
          <w:b/>
          <w:sz w:val="28"/>
          <w:szCs w:val="28"/>
        </w:rPr>
        <w:t xml:space="preserve">ервый вход в Автоматизированный мониторинг ЕПГУ необходимо осуществить в течение 7 календарных дней с момента получения письма с данными для доступа.</w:t>
      </w:r>
      <w:r>
        <w:rPr>
          <w:b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В противном случае нужно направить </w:t>
      </w:r>
      <w:r>
        <w:rPr>
          <w:b/>
          <w:color w:val="000000" w:themeColor="text1"/>
          <w:sz w:val="28"/>
          <w:szCs w:val="28"/>
          <w:u w:val="single"/>
        </w:rPr>
        <w:t xml:space="preserve">новую заявку</w:t>
      </w:r>
      <w:r>
        <w:rPr>
          <w:b/>
          <w:color w:val="000000" w:themeColor="text1"/>
          <w:sz w:val="28"/>
          <w:szCs w:val="28"/>
        </w:rPr>
        <w:t xml:space="preserve"> с указанием о повторном доступе к системе.</w:t>
      </w:r>
    </w:p>
    <w:p>
      <w:pPr>
        <w:spacing w:line="240" w:lineRule="auto"/>
        <w:rPr>
          <w:rFonts w:cs="Times New Roman"/>
          <w:szCs w:val="28"/>
        </w:rPr>
      </w:pPr>
    </w:p>
    <w:p>
      <w:pPr>
        <w:spacing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случае необходимости восстановления доступа необходимо создать новую заявку. </w:t>
      </w:r>
      <w:r>
        <w:rPr>
          <w:rFonts w:cs="Times New Roman"/>
          <w:szCs w:val="28"/>
        </w:rPr>
        <w:t xml:space="preserve">Новая заявка на повторное письмо с доступом направляется в таком же порядке вместе с заполненной формой. Необходимо изменить содержание заявки и тему.</w:t>
      </w:r>
    </w:p>
    <w:p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1835785"/>
                <wp:effectExtent l="0" t="0" r="3810" b="0"/>
                <wp:docPr id="5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939790" cy="1835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0pt;height:144.5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</w:p>
    <w:p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Рисунок 5. </w:t>
      </w:r>
      <w:r>
        <w:rPr>
          <w:szCs w:val="28"/>
        </w:rPr>
        <w:t xml:space="preserve">Направление повторной заявки по почте</w:t>
      </w:r>
    </w:p>
    <w:p>
      <w:pPr>
        <w:spacing w:line="240" w:lineRule="auto"/>
        <w:jc w:val="center"/>
        <w:rPr>
          <w:b/>
        </w:rPr>
      </w:pPr>
    </w:p>
    <w:p>
      <w:pPr>
        <w:pStyle w:val="2"/>
        <w:numPr>
          <w:numId w:val="0"/>
          <w:ilvl w:val="0"/>
        </w:numPr>
      </w:pPr>
      <w:bookmarkStart w:id="6" w:name="_Toc131779595"/>
      <w:r>
        <w:t xml:space="preserve">2 </w:t>
      </w:r>
      <w:r>
        <w:t xml:space="preserve">Первый вход в Аналитический кластер</w:t>
      </w:r>
      <w:bookmarkEnd w:id="4"/>
      <w:bookmarkEnd w:id="5"/>
      <w:bookmarkEnd w:id="6"/>
      <w:r>
        <w:t xml:space="preserve"> для пользователей, которые предоставили СНИЛС</w:t>
      </w:r>
      <w:r>
        <w:t xml:space="preserve">\Номер телефона, привязанный к ЕСИА</w:t>
      </w:r>
      <w:r>
        <w:t xml:space="preserve">,</w:t>
      </w:r>
      <w:r>
        <w:t xml:space="preserve"> в заявке</w:t>
      </w:r>
    </w:p>
    <w:p>
      <w:pPr>
        <w:pStyle w:val="a0"/>
        <w:rPr>
          <w:lang w:eastAsia="ru-RU"/>
        </w:rPr>
      </w:pPr>
    </w:p>
    <w:p>
      <w:pPr>
        <w:pStyle w:val="a0"/>
        <w:numPr>
          <w:numId w:val="1"/>
          <w:ilvl w:val="0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Перейдите по ссылке из письма (</w:t>
      </w:r>
      <w:hyperlink r:id="rId24" w:history="1">
        <w:r>
          <w:rPr>
            <w:rStyle w:val="ab"/>
            <w:rFonts w:cs="Times New Roman"/>
            <w:color w:val="0070c0"/>
          </w:rPr>
          <w:t xml:space="preserve">https://rta.gosuslugi.ru</w:t>
        </w:r>
      </w:hyperlink>
      <w:r>
        <w:rPr>
          <w:color w:val="000000" w:themeColor="text1"/>
        </w:rPr>
        <w:t xml:space="preserve">)</w:t>
      </w:r>
    </w:p>
    <w:p>
      <w:pPr>
        <w:pStyle w:val="a0"/>
        <w:numPr>
          <w:numId w:val="1"/>
          <w:ilvl w:val="0"/>
        </w:numPr>
        <w:jc w:val="both"/>
      </w:pPr>
      <w:r>
        <w:t xml:space="preserve">Нажмите на кнопку «Выполнить вход с помощью ЕСИА»</w:t>
      </w:r>
    </w:p>
    <w:p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42260" cy="1840108"/>
                <wp:effectExtent l="0" t="0" r="0" b="8255"/>
                <wp:docPr id="6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2876540" cy="18623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23.80pt;height:144.89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6. Главный экран</w:t>
      </w:r>
      <w:r>
        <w:rPr>
          <w:rFonts w:cs="Times New Roman"/>
        </w:rPr>
        <w:t xml:space="preserve"> Аналитического кластера</w:t>
      </w:r>
    </w:p>
    <w:p>
      <w:pPr>
        <w:spacing w:line="276" w:lineRule="auto"/>
        <w:jc w:val="center"/>
        <w:rPr>
          <w:rFonts w:cs="Times New Roman"/>
        </w:rPr>
      </w:pPr>
    </w:p>
    <w:p>
      <w:pPr>
        <w:pStyle w:val="a5"/>
        <w:numPr>
          <w:numId w:val="1"/>
          <w:ilvl w:val="0"/>
        </w:numPr>
        <w:spacing w:line="276" w:lineRule="auto"/>
      </w:pPr>
      <w:r>
        <w:rPr>
          <w:rFonts w:eastAsiaTheme="minorHAnsi"/>
          <w:szCs w:val="28"/>
          <w:lang w:eastAsia="en-US"/>
        </w:rPr>
        <w:t xml:space="preserve">Укажите логин и пароль от</w:t>
      </w:r>
      <w:r>
        <w:rPr>
          <w:rFonts w:eastAsiaTheme="minorHAnsi"/>
          <w:szCs w:val="28"/>
          <w:lang w:eastAsia="en-US"/>
        </w:rPr>
        <w:t xml:space="preserve"> Госуслуг и нажмите кнопку «Войти»</w: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99360" cy="3526286"/>
                <wp:effectExtent l="0" t="0" r="0" b="0"/>
                <wp:docPr id="7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2505768" cy="3535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96.80pt;height:277.66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7. Авторизация через ЕСИА</w:t>
      </w:r>
      <w:r>
        <w:rPr>
          <w:rFonts w:cs="Times New Roman"/>
        </w:rPr>
        <w:br w:type="page" w:clear="all"/>
      </w:r>
    </w:p>
    <w:p>
      <w:pPr>
        <w:pStyle w:val="a5"/>
        <w:numPr>
          <w:numId w:val="1"/>
          <w:ilvl w:val="0"/>
        </w:numPr>
        <w:spacing w:line="276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Предоставьте Аналитическому кластеру доступ к учетной записи Госуслуг</w:t>
      </w:r>
    </w:p>
    <w:p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76625" cy="3242496"/>
                <wp:effectExtent l="0" t="0" r="0" b="0"/>
                <wp:docPr id="8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487344" cy="32524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73.75pt;height:255.31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8. Подтверждение прав доступа</w:t>
      </w:r>
    </w:p>
    <w:p>
      <w:pPr>
        <w:spacing w:line="276" w:lineRule="auto"/>
        <w:jc w:val="center"/>
        <w:rPr>
          <w:rFonts w:cs="Times New Roman"/>
        </w:rPr>
      </w:pPr>
    </w:p>
    <w:p>
      <w:pPr>
        <w:pStyle w:val="a5"/>
        <w:numPr>
          <w:numId w:val="1"/>
          <w:ilvl w:val="0"/>
        </w:numPr>
        <w:spacing w:line="276" w:lineRule="auto"/>
        <w:jc w:val="left"/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Вы авторизованы в Аналитическом кластере.</w:t>
      </w:r>
    </w:p>
    <w:p>
      <w:pPr>
        <w:shd w:val="clear" w:color="auto" w:fill="ffffff"/>
        <w:spacing w:before="100" w:beforeAutospacing="1" w:line="240" w:lineRule="auto"/>
        <w:ind w:firstLine="708"/>
        <w:jc w:val="left"/>
        <w:rPr>
          <w:rFonts w:eastAsia="Times New Roman"/>
          <w:color w:val="2c2d2e"/>
          <w:szCs w:val="28"/>
        </w:rPr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Перед вами главный экран. Для загрузки 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дашборда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,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 необходимо выбрать его из выпадающего списка.</w:t>
      </w:r>
    </w:p>
    <w:p>
      <w:pPr>
        <w:shd w:val="clear" w:color="auto" w:fill="ffffff"/>
        <w:spacing w:before="100" w:beforeAutospacing="1" w:line="240" w:lineRule="auto"/>
        <w:ind w:firstLine="708"/>
        <w:jc w:val="left"/>
        <w:rPr>
          <w:rFonts w:eastAsia="Times New Roman"/>
          <w:color w:val="2c2d2e"/>
          <w:szCs w:val="28"/>
        </w:rPr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Последующий вход будет осуществляться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 также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 через логин и пароль Госуслуг.</w:t>
      </w:r>
    </w:p>
    <w:p>
      <w:pPr>
        <w:spacing w:line="276" w:lineRule="auto"/>
        <w:jc w:val="center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</w:rPr>
      </w:pPr>
    </w:p>
    <w:p>
      <w:pPr>
        <w:pStyle w:val="2"/>
        <w:numPr>
          <w:numId w:val="0"/>
          <w:ilvl w:val="0"/>
        </w:numPr>
      </w:pPr>
      <w:r>
        <w:t xml:space="preserve">3 </w:t>
      </w:r>
      <w:r>
        <w:t xml:space="preserve">Первый вход в Аналитический кластер</w:t>
      </w:r>
      <w:r>
        <w:t xml:space="preserve"> для пользователей, которые не предоставили СНИЛС</w:t>
      </w:r>
      <w:r>
        <w:t xml:space="preserve">\Номер телефона, привязанный к ЕСИА</w:t>
      </w:r>
      <w:r>
        <w:t xml:space="preserve">,</w:t>
      </w:r>
      <w:r>
        <w:t xml:space="preserve"> в заявке</w:t>
      </w:r>
    </w:p>
    <w:p>
      <w:pPr>
        <w:pStyle w:val="a0"/>
        <w:rPr>
          <w:lang w:eastAsia="ru-RU"/>
        </w:rPr>
      </w:pPr>
    </w:p>
    <w:p>
      <w:pPr>
        <w:pStyle w:val="a0"/>
        <w:numPr>
          <w:numId w:val="12"/>
          <w:ilvl w:val="0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Перейдите по ссылке из письма (</w:t>
      </w:r>
      <w:hyperlink r:id="rId28" w:history="1">
        <w:r>
          <w:rPr>
            <w:rStyle w:val="ab"/>
            <w:rFonts w:cs="Times New Roman"/>
            <w:color w:val="0070c0"/>
          </w:rPr>
          <w:t xml:space="preserve">https://rta.gosuslugi.ru</w:t>
        </w:r>
      </w:hyperlink>
      <w:r>
        <w:rPr>
          <w:color w:val="000000" w:themeColor="text1"/>
        </w:rPr>
        <w:t xml:space="preserve">)</w:t>
      </w:r>
    </w:p>
    <w:p>
      <w:pPr>
        <w:pStyle w:val="a0"/>
        <w:numPr>
          <w:numId w:val="12"/>
          <w:ilvl w:val="0"/>
        </w:numPr>
        <w:jc w:val="both"/>
      </w:pPr>
      <w:r>
        <w:t xml:space="preserve">Нажмите на кнопку «Выполнить вход с помощью ЕСИА»</w:t>
      </w:r>
    </w:p>
    <w:p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842260" cy="1840108"/>
                <wp:effectExtent l="0" t="0" r="0" b="8255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2876540" cy="18623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23.80pt;height:144.89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9. Главный экран Аналитического кластера</w:t>
      </w:r>
    </w:p>
    <w:p>
      <w:pPr>
        <w:spacing w:line="276" w:lineRule="auto"/>
        <w:jc w:val="center"/>
        <w:rPr>
          <w:rFonts w:cs="Times New Roman"/>
        </w:rPr>
      </w:pPr>
    </w:p>
    <w:p>
      <w:pPr>
        <w:pStyle w:val="a5"/>
        <w:numPr>
          <w:numId w:val="12"/>
          <w:ilvl w:val="0"/>
        </w:numPr>
        <w:spacing w:line="276" w:lineRule="auto"/>
      </w:pPr>
      <w:r>
        <w:rPr>
          <w:rFonts w:eastAsiaTheme="minorHAnsi"/>
          <w:szCs w:val="28"/>
          <w:lang w:eastAsia="en-US"/>
        </w:rPr>
        <w:t xml:space="preserve">Укажите логин и пароль от Госуслуг и нажмите кнопку «Войти»</w: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99360" cy="3526286"/>
                <wp:effectExtent l="0" t="0" r="0" b="0"/>
                <wp:docPr id="10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2505768" cy="3535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96.80pt;height:277.66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10. Авторизация через ЕСИА</w:t>
      </w:r>
      <w:r>
        <w:rPr>
          <w:rFonts w:cs="Times New Roman"/>
        </w:rPr>
        <w:br w:type="page" w:clear="all"/>
      </w:r>
    </w:p>
    <w:p>
      <w:pPr>
        <w:pStyle w:val="a5"/>
        <w:numPr>
          <w:numId w:val="12"/>
          <w:ilvl w:val="0"/>
        </w:numPr>
        <w:spacing w:line="276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Предоставьте Аналитическому кластеру доступ к учетной записи Госуслуг</w:t>
      </w:r>
    </w:p>
    <w:p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76625" cy="3242496"/>
                <wp:effectExtent l="0" t="0" r="0" b="0"/>
                <wp:docPr id="1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487344" cy="32524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73.75pt;height:255.31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11. Подтверждение прав доступа</w:t>
      </w:r>
    </w:p>
    <w:p>
      <w:pPr>
        <w:spacing w:line="276" w:lineRule="auto"/>
        <w:jc w:val="center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</w:rPr>
      </w:pPr>
    </w:p>
    <w:p>
      <w:pPr>
        <w:pStyle w:val="a5"/>
        <w:numPr>
          <w:numId w:val="11"/>
          <w:ilvl w:val="0"/>
        </w:numPr>
        <w:spacing w:line="276" w:lineRule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Введите логин из письма и сгенерированный по ссылке </w:t>
      </w:r>
      <w:r>
        <w:rPr>
          <w:rFonts w:eastAsiaTheme="minorHAnsi"/>
          <w:szCs w:val="28"/>
          <w:lang w:eastAsia="en-US"/>
        </w:rPr>
        <w:t xml:space="preserve">пароль</w:t>
      </w:r>
    </w:p>
    <w:p>
      <w:pPr>
        <w:spacing w:line="276" w:lineRule="auto"/>
        <w:jc w:val="center"/>
        <w:rPr>
          <w:rFonts w:cs="Times New Roman"/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1917507</wp:posOffset>
                </wp:positionH>
                <wp:positionV relativeFrom="paragraph">
                  <wp:posOffset>1074172</wp:posOffset>
                </wp:positionV>
                <wp:extent cx="1868170" cy="1057523"/>
                <wp:effectExtent l="19050" t="19050" r="17780" b="28575"/>
                <wp:wrapNone/>
                <wp:docPr id="12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868170" cy="105752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1" type="#_x0000_t1" style="position:absolute;z-index:251611136;o:allowoverlap:true;o:allowincell:true;mso-position-horizontal-relative:text;margin-left:150.98pt;mso-position-horizontal:absolute;mso-position-vertical-relative:text;margin-top:84.58pt;mso-position-vertical:absolute;width:147.10pt;height:83.27pt;mso-wrap-distance-left:9.00pt;mso-wrap-distance-top:0.00pt;mso-wrap-distance-right:9.00pt;mso-wrap-distance-bottom:0.00pt;visibility:visible;" filled="f" strokecolor="#FF0000" strokeweight="2.25pt">
                <v:stroke dashstyle="solid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1917507</wp:posOffset>
                </wp:positionH>
                <wp:positionV relativeFrom="paragraph">
                  <wp:posOffset>2298672</wp:posOffset>
                </wp:positionV>
                <wp:extent cx="1868556" cy="429371"/>
                <wp:effectExtent l="19050" t="19050" r="17780" b="27940"/>
                <wp:wrapNone/>
                <wp:docPr id="13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868556" cy="4293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2" o:spid="_x0000_s12" o:spt="1" type="#_x0000_t1" style="position:absolute;z-index:251622400;o:allowoverlap:true;o:allowincell:true;mso-position-horizontal-relative:text;margin-left:150.98pt;mso-position-horizontal:absolute;mso-position-vertical-relative:text;margin-top:181.00pt;mso-position-vertical:absolute;width:147.13pt;height:33.81pt;mso-wrap-distance-left:9.00pt;mso-wrap-distance-top:0.00pt;mso-wrap-distance-right:9.00pt;mso-wrap-distance-bottom:0.00pt;visibility:visible;" filled="f" strokecolor="#FF0000" strokeweight="2.25pt">
                <v:stroke dashstyle="solid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19614" cy="3394710"/>
                <wp:effectExtent l="0" t="0" r="0" b="0"/>
                <wp:docPr id="14" name="Рисунок 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/>
                        <pic:nvPr/>
                      </pic:nvPicPr>
                      <pic:blipFill rotWithShape="1">
                        <a:blip r:embed="rId29"/>
                        <a:srcRect l="30093" t="15396" r="8651" b="2774"/>
                        <a:stretch/>
                      </pic:blipFill>
                      <pic:spPr bwMode="auto">
                        <a:xfrm>
                          <a:off x="0" y="0"/>
                          <a:ext cx="3241063" cy="34173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253.51pt;height:267.30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</w:p>
    <w:p>
      <w:pPr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 xml:space="preserve">Рисунок </w:t>
      </w:r>
      <w:r>
        <w:rPr>
          <w:rFonts w:cs="Times New Roman"/>
        </w:rPr>
        <w:t xml:space="preserve">12</w:t>
      </w:r>
      <w:r>
        <w:rPr>
          <w:rFonts w:cs="Times New Roman"/>
        </w:rPr>
        <w:t xml:space="preserve">. Окно ввода сгенерированного логина и пароля</w:t>
      </w:r>
    </w:p>
    <w:p>
      <w:pPr>
        <w:spacing w:line="276" w:lineRule="auto"/>
        <w:jc w:val="center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</w:rPr>
      </w:pPr>
    </w:p>
    <w:p>
      <w:pPr>
        <w:spacing w:line="276" w:lineRule="auto"/>
        <w:jc w:val="center"/>
        <w:rPr>
          <w:rFonts w:cs="Times New Roman"/>
        </w:rPr>
      </w:pPr>
    </w:p>
    <w:p>
      <w:pPr>
        <w:pStyle w:val="a5"/>
        <w:numPr>
          <w:numId w:val="11"/>
          <w:ilvl w:val="0"/>
        </w:numPr>
        <w:shd w:val="clear" w:color="auto" w:fill="ffffff"/>
        <w:spacing w:before="100" w:beforeAutospacing="1" w:line="240" w:lineRule="auto"/>
        <w:jc w:val="left"/>
        <w:rPr>
          <w:rFonts w:eastAsia="Times New Roman"/>
          <w:color w:val="2c2d2e"/>
          <w:szCs w:val="28"/>
        </w:rPr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Вы авториз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ованы в Аналитическом кластере.</w:t>
      </w:r>
    </w:p>
    <w:p>
      <w:pPr>
        <w:shd w:val="clear" w:color="auto" w:fill="ffffff"/>
        <w:spacing w:before="100" w:beforeAutospacing="1" w:line="240" w:lineRule="auto"/>
        <w:ind w:firstLine="708"/>
        <w:jc w:val="left"/>
        <w:rPr>
          <w:rFonts w:eastAsia="Times New Roman"/>
          <w:color w:val="2c2d2e"/>
          <w:szCs w:val="28"/>
        </w:rPr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Перед вами главный экран. Для загрузки 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дашборда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,</w:t>
      </w: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 необходимо выбрать его из выпадающего списка.</w:t>
      </w:r>
    </w:p>
    <w:p>
      <w:pPr>
        <w:shd w:val="clear" w:color="auto" w:fill="ffffff"/>
        <w:spacing w:before="100" w:beforeAutospacing="1" w:line="240" w:lineRule="auto"/>
        <w:ind w:firstLine="708"/>
        <w:jc w:val="left"/>
        <w:rPr>
          <w:rFonts w:eastAsia="Times New Roman"/>
          <w:color w:val="2c2d2e"/>
          <w:szCs w:val="28"/>
        </w:rPr>
      </w:pPr>
      <w:r>
        <w:rPr>
          <w:rFonts w:eastAsia="Times New Roman"/>
          <w:bCs/>
          <w:color w:val="000000"/>
          <w:szCs w:val="28"/>
          <w:shd w:val="clear" w:color="auto" w:fill="ffffff"/>
        </w:rPr>
        <w:t xml:space="preserve">Последующий вход будет осуществляться через логин и пароль Госуслуг.</w:t>
      </w:r>
    </w:p>
    <w:p>
      <w:pPr>
        <w:pStyle w:val="1"/>
      </w:pPr>
      <w:bookmarkStart w:id="7" w:name="_Toc96534491"/>
      <w:bookmarkStart w:id="8" w:name="_Toc96534609"/>
      <w:bookmarkEnd w:id="7"/>
      <w:bookmarkEnd w:id="8"/>
    </w:p>
    <w:sect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Wingdings">
    <w:panose1 w:val="05010000000000000000"/>
  </w:font>
  <w:font w:name="Lato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f"/>
      <w:jc w:val="center"/>
    </w:pPr>
  </w:p>
  <w:p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864596862"/>
      <w:docPartObj>
        <w:docPartGallery w:val="Page Numbers (Top of Page)"/>
        <w:docPartUnique w:val="true"/>
      </w:docPartObj>
    </w:sdtPr>
    <w:sdtContent>
      <w:p>
        <w:pPr>
          <w:pStyle w:val="ad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multiLevelType w:val="hybridMultilevel"/>
    <w:lvl w:ilvl="0" w:tplc="0419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multiLevelType w:val="hybridMultilevel"/>
    <w:lvl w:ilvl="0" w:tplc="E6A6F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8" w:hanging="360"/>
      </w:pPr>
    </w:lvl>
    <w:lvl w:ilvl="2" w:tentative="1" w:tplc="0419001B">
      <w:start w:val="1"/>
      <w:numFmt w:val="lowerRoman"/>
      <w:lvlText w:val="%3."/>
      <w:lvlJc w:val="right"/>
      <w:pPr>
        <w:ind w:left="2508" w:hanging="180"/>
      </w:pPr>
    </w:lvl>
    <w:lvl w:ilvl="3" w:tentative="1" w:tplc="0419000F">
      <w:start w:val="1"/>
      <w:numFmt w:val="decimal"/>
      <w:lvlText w:val="%4."/>
      <w:lvlJc w:val="left"/>
      <w:pPr>
        <w:ind w:left="3228" w:hanging="360"/>
      </w:pPr>
    </w:lvl>
    <w:lvl w:ilvl="4" w:tentative="1" w:tplc="04190019">
      <w:start w:val="1"/>
      <w:numFmt w:val="lowerLetter"/>
      <w:lvlText w:val="%5."/>
      <w:lvlJc w:val="left"/>
      <w:pPr>
        <w:ind w:left="3948" w:hanging="360"/>
      </w:pPr>
    </w:lvl>
    <w:lvl w:ilvl="5" w:tentative="1" w:tplc="0419001B">
      <w:start w:val="1"/>
      <w:numFmt w:val="lowerRoman"/>
      <w:lvlText w:val="%6."/>
      <w:lvlJc w:val="right"/>
      <w:pPr>
        <w:ind w:left="4668" w:hanging="180"/>
      </w:pPr>
    </w:lvl>
    <w:lvl w:ilvl="6" w:tentative="1" w:tplc="0419000F">
      <w:start w:val="1"/>
      <w:numFmt w:val="decimal"/>
      <w:lvlText w:val="%7."/>
      <w:lvlJc w:val="left"/>
      <w:pPr>
        <w:ind w:left="5388" w:hanging="360"/>
      </w:pPr>
    </w:lvl>
    <w:lvl w:ilvl="7" w:tentative="1" w:tplc="04190019">
      <w:start w:val="1"/>
      <w:numFmt w:val="lowerLetter"/>
      <w:lvlText w:val="%8."/>
      <w:lvlJc w:val="left"/>
      <w:pPr>
        <w:ind w:left="6108" w:hanging="360"/>
      </w:pPr>
    </w:lvl>
    <w:lvl w:ilvl="8" w:tentative="1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 w:tplc="0419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entative="1" w:tplc="0419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multiLevelType w:val="hybridMultilevel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"/>
  </w:num>
  <w:num w:numId="5">
    <w:abstractNumId w:val="4"/>
  </w:num>
  <w:num w:numId="6">
    <w:abstractNumId w:val="11"/>
  </w:num>
  <w:num w:numId="7">
    <w:abstractNumId w:val="10"/>
  </w:num>
  <w:num w:numId="8">
    <w:abstractNumId w:val="3"/>
  </w:num>
  <w:num w:numId="9">
    <w:abstractNumId w:val="6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360" w:lineRule="auto"/>
      <w:jc w:val="both"/>
    </w:pPr>
    <w:rPr>
      <w:rFonts w:ascii="Times New Roman" w:hAnsi="Times New Roman" w:eastAsiaTheme="minorEastAsia"/>
      <w:color w:val="000000" w:themeColor="text1"/>
      <w:sz w:val="28"/>
      <w:lang w:eastAsia="ru-RU"/>
    </w:rPr>
  </w:style>
  <w:style w:type="paragraph" w:styleId="1">
    <w:name w:val="heading 1"/>
    <w:basedOn w:val="a0"/>
    <w:next w:val="a"/>
    <w:link w:val="10"/>
    <w:autoRedefine/>
    <w:uiPriority w:val="9"/>
    <w:qFormat/>
    <w:pPr>
      <w:keepNext/>
      <w:keepLines/>
      <w:jc w:val="left"/>
      <w:outlineLvl w:val="0"/>
    </w:pPr>
    <w:rPr>
      <w:rFonts w:eastAsiaTheme="majorEastAsia" w:cstheme="majorBidi"/>
      <w:b/>
      <w:bCs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pPr>
      <w:keepNext/>
      <w:keepLines/>
      <w:numPr>
        <w:numId w:val="6"/>
        <w:ilvl w:val="1"/>
      </w:numPr>
      <w:ind w:left="0" w:firstLine="0"/>
      <w:jc w:val="left"/>
      <w:outlineLvl w:val="1"/>
    </w:pPr>
    <w:rPr>
      <w:rFonts w:eastAsiaTheme="majorEastAsia" w:cstheme="majorBidi"/>
      <w:b/>
      <w:bCs/>
      <w:color w:val="000000" w:themeColor="text1"/>
      <w:szCs w:val="26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numPr>
        <w:numId w:val="6"/>
        <w:ilvl w:val="2"/>
      </w:numPr>
      <w:ind w:left="0" w:firstLine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jc w:val="left"/>
      <w:outlineLvl w:val="3"/>
    </w:pPr>
    <w:rPr>
      <w:rFonts w:eastAsiaTheme="majorEastAsia" w:cstheme="majorBidi"/>
      <w:b/>
      <w:bCs/>
      <w:iCs/>
    </w:rPr>
  </w:style>
  <w:style w:type="character" w:styleId="a1" w:default="1">
    <w:name w:val="Default Paragraph Font"/>
    <w:uiPriority w:val="1"/>
    <w:semiHidden/>
    <w:unhideWhenUsed/>
  </w:style>
  <w:style w:type="table" w:styleId="a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3" w:default="1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Pr>
      <w:b/>
      <w:bCs/>
    </w:rPr>
  </w:style>
  <w:style w:type="paragraph" w:styleId="a5">
    <w:name w:val="List Paragraph"/>
    <w:basedOn w:val="a"/>
    <w:uiPriority w:val="34"/>
    <w:qFormat/>
    <w:pPr>
      <w:ind w:left="720"/>
      <w:contextualSpacing/>
    </w:pPr>
    <w:rPr>
      <w:rFonts w:cs="Times New Roman"/>
    </w:rPr>
  </w:style>
  <w:style w:type="paragraph" w:styleId="11">
    <w:name w:val="toc 1"/>
    <w:aliases w:val="ОГЛАВЛЕНИЕ уч"/>
    <w:basedOn w:val="1"/>
    <w:next w:val="a"/>
    <w:autoRedefine/>
    <w:uiPriority w:val="39"/>
    <w:unhideWhenUsed/>
    <w:qFormat/>
    <w:pPr>
      <w:tabs>
        <w:tab w:val="right" w:pos="9345" w:leader="dot"/>
      </w:tabs>
      <w:ind w:left="142" w:right="187"/>
    </w:pPr>
    <w:rPr>
      <w:b w:val="0"/>
    </w:rPr>
  </w:style>
  <w:style w:type="paragraph" w:styleId="a0" w:customStyle="1">
    <w:name w:val="Учебный"/>
    <w:autoRedefine/>
    <w:qFormat/>
    <w:pPr>
      <w:spacing w:after="0" w:line="276" w:lineRule="auto"/>
      <w:jc w:val="center"/>
    </w:pPr>
    <w:rPr>
      <w:rFonts w:ascii="Times New Roman" w:hAnsi="Times New Roman" w:cs="Lato"/>
      <w:color w:val="0b1f33"/>
      <w:sz w:val="28"/>
      <w:szCs w:val="28"/>
      <w:shd w:val="clear" w:color="auto" w:fill="ffffff"/>
    </w:rPr>
  </w:style>
  <w:style w:type="paragraph" w:styleId="a6" w:customStyle="1">
    <w:name w:val="Заголовок учеб"/>
    <w:basedOn w:val="1"/>
    <w:next w:val="a0"/>
    <w:autoRedefine/>
    <w:qFormat/>
  </w:style>
  <w:style w:type="character" w:styleId="10" w:customStyle="1">
    <w:name w:val="Заголовок 1 Знак"/>
    <w:basedOn w:val="a1"/>
    <w:link w:val="1"/>
    <w:uiPriority w:val="9"/>
    <w:rPr>
      <w:rFonts w:ascii="Times New Roman" w:hAnsi="Times New Roman" w:eastAsiaTheme="majorEastAsia" w:cstheme="majorBidi"/>
      <w:b/>
      <w:bCs/>
      <w:color w:val="0b1f33"/>
      <w:sz w:val="28"/>
      <w:szCs w:val="28"/>
    </w:rPr>
  </w:style>
  <w:style w:type="character" w:styleId="20" w:customStyle="1">
    <w:name w:val="Заголовок 2 Знак"/>
    <w:basedOn w:val="a1"/>
    <w:link w:val="2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szCs w:val="26"/>
      <w:lang w:eastAsia="ru-RU"/>
    </w:rPr>
  </w:style>
  <w:style w:type="character" w:styleId="30" w:customStyle="1">
    <w:name w:val="Заголовок 3 Знак"/>
    <w:basedOn w:val="a1"/>
    <w:link w:val="3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lang w:eastAsia="ru-RU"/>
    </w:rPr>
  </w:style>
  <w:style w:type="character" w:styleId="40" w:customStyle="1">
    <w:name w:val="Заголовок 4 Знак"/>
    <w:basedOn w:val="a1"/>
    <w:link w:val="4"/>
    <w:uiPriority w:val="9"/>
    <w:rPr>
      <w:rFonts w:ascii="Times New Roman" w:hAnsi="Times New Roman" w:eastAsiaTheme="majorEastAsia" w:cstheme="majorBidi"/>
      <w:b/>
      <w:bCs/>
      <w:iCs/>
      <w:color w:val="000000" w:themeColor="text1"/>
      <w:sz w:val="28"/>
      <w:lang w:eastAsia="ru-RU"/>
    </w:rPr>
  </w:style>
  <w:style w:type="paragraph" w:styleId="a7" w:customStyle="1">
    <w:name w:val="Аня"/>
    <w:link w:val="a8"/>
    <w:autoRedefine/>
    <w:uiPriority w:val="1"/>
    <w:qFormat/>
    <w:pPr>
      <w:spacing w:before="200" w:after="200" w:line="360" w:lineRule="auto"/>
      <w:ind w:left="170" w:right="170" w:firstLine="709"/>
      <w:jc w:val="both"/>
    </w:pPr>
    <w:rPr>
      <w:rFonts w:ascii="Times New Roman" w:hAnsi="Times New Roman" w:eastAsia="Times New Roman" w:cs="Times New Roman"/>
      <w:bCs/>
      <w:color w:val="000000"/>
      <w:sz w:val="28"/>
      <w:szCs w:val="28"/>
      <w:lang w:val="en-US"/>
    </w:rPr>
  </w:style>
  <w:style w:type="character" w:styleId="a8" w:customStyle="1">
    <w:name w:val="Аня Знак"/>
    <w:basedOn w:val="10"/>
    <w:link w:val="a7"/>
    <w:uiPriority w:val="1"/>
    <w:rPr>
      <w:rFonts w:ascii="Times New Roman" w:hAnsi="Times New Roman" w:eastAsia="Times New Roman" w:cs="Times New Roman"/>
      <w:b w:val="0"/>
      <w:bCs/>
      <w:color w:val="000000"/>
      <w:sz w:val="28"/>
      <w:szCs w:val="28"/>
      <w:lang w:val="en-US"/>
    </w:rPr>
  </w:style>
  <w:style w:type="paragraph" w:styleId="a9">
    <w:name w:val="Balloon Text"/>
    <w:basedOn w:val="a"/>
    <w:link w:val="aa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aa" w:customStyle="1">
    <w:name w:val="Текст выноски Знак"/>
    <w:basedOn w:val="a1"/>
    <w:link w:val="a9"/>
    <w:uiPriority w:val="99"/>
    <w:semiHidden/>
    <w:rPr>
      <w:rFonts w:ascii="Tahoma" w:hAnsi="Tahoma" w:cs="Tahoma" w:eastAsiaTheme="minorEastAsia"/>
      <w:color w:val="000000" w:themeColor="text1"/>
      <w:sz w:val="16"/>
      <w:szCs w:val="16"/>
      <w:lang w:eastAsia="ru-RU"/>
    </w:rPr>
  </w:style>
  <w:style w:type="character" w:styleId="ab">
    <w:name w:val="Hyperlink"/>
    <w:basedOn w:val="a1"/>
    <w:uiPriority w:val="99"/>
    <w:unhideWhenUsed/>
    <w:rPr>
      <w:color w:val="0000ff"/>
      <w:u w:val="single"/>
    </w:rPr>
  </w:style>
  <w:style w:type="character" w:styleId="ac">
    <w:name w:val="line number"/>
    <w:basedOn w:val="a1"/>
    <w:uiPriority w:val="99"/>
    <w:semiHidden/>
    <w:unhideWhenUsed/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styleId="ae" w:customStyle="1">
    <w:name w:val="Верхний колонтитул Знак"/>
    <w:basedOn w:val="a1"/>
    <w:link w:val="ad"/>
    <w:uiPriority w:val="99"/>
    <w:rPr>
      <w:rFonts w:ascii="Times New Roman" w:hAnsi="Times New Roman" w:eastAsiaTheme="minorEastAsia"/>
      <w:color w:val="000000" w:themeColor="text1"/>
      <w:sz w:val="28"/>
      <w:lang w:eastAsia="ru-RU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styleId="af0" w:customStyle="1">
    <w:name w:val="Нижний колонтитул Знак"/>
    <w:basedOn w:val="a1"/>
    <w:link w:val="af"/>
    <w:uiPriority w:val="99"/>
    <w:rPr>
      <w:rFonts w:ascii="Times New Roman" w:hAnsi="Times New Roman" w:eastAsiaTheme="minorEastAsia"/>
      <w:color w:val="000000" w:themeColor="text1"/>
      <w:sz w:val="28"/>
      <w:lang w:eastAsia="ru-RU"/>
    </w:rPr>
  </w:style>
  <w:style w:type="paragraph" w:styleId="af1">
    <w:name w:val="TOC Heading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pPr>
      <w:spacing w:after="100"/>
      <w:ind w:left="560"/>
    </w:pPr>
  </w:style>
  <w:style w:type="paragraph" w:styleId="text" w:customStyle="1">
    <w:name w:val="text"/>
    <w:basedOn w:val="a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</w:rPr>
  </w:style>
  <w:style w:type="paragraph" w:styleId="af2">
    <w:name w:val="footnote text"/>
    <w:basedOn w:val="a"/>
    <w:link w:val="af3"/>
    <w:uiPriority w:val="99"/>
    <w:unhideWhenUsed/>
    <w:pPr>
      <w:spacing w:line="240" w:lineRule="auto"/>
      <w:jc w:val="left"/>
    </w:pPr>
    <w:rPr>
      <w:rFonts w:asciiTheme="minorHAnsi" w:hAnsiTheme="minorHAnsi" w:eastAsiaTheme="minorHAnsi"/>
      <w:color w:val="auto"/>
      <w:sz w:val="20"/>
      <w:szCs w:val="20"/>
      <w:lang w:eastAsia="en-US"/>
    </w:rPr>
  </w:style>
  <w:style w:type="character" w:styleId="af3" w:customStyle="1">
    <w:name w:val="Текст сноски Знак"/>
    <w:basedOn w:val="a1"/>
    <w:link w:val="af2"/>
    <w:uiPriority w:val="99"/>
    <w:rPr>
      <w:sz w:val="20"/>
      <w:szCs w:val="20"/>
    </w:rPr>
  </w:style>
  <w:style w:type="character" w:styleId="af4">
    <w:name w:val="footnote reference"/>
    <w:basedOn w:val="a1"/>
    <w:uiPriority w:val="99"/>
    <w:semiHidden/>
    <w:unhideWhenUsed/>
    <w:rPr>
      <w:vertAlign w:val="superscript"/>
    </w:rPr>
  </w:style>
  <w:style w:type="table" w:styleId="af5">
    <w:name w:val="Table Grid"/>
    <w:basedOn w:val="a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6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af8" w:customStyle="1">
    <w:name w:val="Текст примечания Знак"/>
    <w:basedOn w:val="a1"/>
    <w:link w:val="af7"/>
    <w:uiPriority w:val="99"/>
    <w:semiHidden/>
    <w:rPr>
      <w:rFonts w:ascii="Times New Roman" w:hAnsi="Times New Roman" w:eastAsiaTheme="minorEastAsia"/>
      <w:color w:val="000000" w:themeColor="text1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styleId="afa" w:customStyle="1">
    <w:name w:val="Тема примечания Знак"/>
    <w:basedOn w:val="af8"/>
    <w:link w:val="af9"/>
    <w:uiPriority w:val="99"/>
    <w:semiHidden/>
    <w:rPr>
      <w:rFonts w:ascii="Times New Roman" w:hAnsi="Times New Roman" w:eastAsiaTheme="minorEastAsia"/>
      <w:b/>
      <w:bCs/>
      <w:color w:val="000000" w:themeColor="text1"/>
      <w:sz w:val="20"/>
      <w:szCs w:val="20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  <w:sz w:val="24"/>
      <w:szCs w:val="24"/>
    </w:rPr>
  </w:style>
  <w:style w:type="character" w:styleId="afc">
    <w:name w:val="FollowedHyperlink"/>
    <w:basedOn w:val="a1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disk.yandex.ru/i/ADJMOT3xUOhz2Q" TargetMode="External"/><Relationship Id="rId13" Type="http://schemas.openxmlformats.org/officeDocument/2006/relationships/hyperlink" Target="https://sc.digital.gov.ru/" TargetMode="External"/><Relationship Id="rId14" Type="http://schemas.openxmlformats.org/officeDocument/2006/relationships/hyperlink" Target="mailto:sd@sc.digital.gov.ru" TargetMode="External"/><Relationship Id="rId15" Type="http://schemas.openxmlformats.org/officeDocument/2006/relationships/hyperlink" Target="https://sc.digital.gov.ru/" TargetMode="External"/><Relationship Id="rId16" Type="http://schemas.openxmlformats.org/officeDocument/2006/relationships/image" Target="media/image1.png"/><Relationship Id="rId17" Type="http://schemas.openxmlformats.org/officeDocument/2006/relationships/hyperlink" Target="https://disk.yandex.ru/i/ADJMOT3xUOhz2Q" TargetMode="External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hyperlink" Target="mailto:sd@sc.digital.gov.ru" TargetMode="External"/><Relationship Id="rId21" Type="http://schemas.openxmlformats.org/officeDocument/2006/relationships/hyperlink" Target="mailto:a.kuntsevich@digital.gov.ru" TargetMode="External"/><Relationship Id="rId22" Type="http://schemas.openxmlformats.org/officeDocument/2006/relationships/image" Target="media/image4.png"/><Relationship Id="rId23" Type="http://schemas.openxmlformats.org/officeDocument/2006/relationships/image" Target="media/image5.png"/><Relationship Id="rId24" Type="http://schemas.openxmlformats.org/officeDocument/2006/relationships/hyperlink" Target="https://rta.gosuslugi.ru" TargetMode="External"/><Relationship Id="rId25" Type="http://schemas.openxmlformats.org/officeDocument/2006/relationships/image" Target="media/image6.png"/><Relationship Id="rId26" Type="http://schemas.openxmlformats.org/officeDocument/2006/relationships/image" Target="media/image7.png"/><Relationship Id="rId27" Type="http://schemas.openxmlformats.org/officeDocument/2006/relationships/image" Target="media/image8.png"/><Relationship Id="rId28" Type="http://schemas.openxmlformats.org/officeDocument/2006/relationships/hyperlink" Target="https://rta.gosuslugi.ru" TargetMode="External"/><Relationship Id="rId29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F19E7-A2A1-42E2-993D-E3E2639CF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3679</Characters>
  <CharactersWithSpaces>4316</CharactersWithSpaces>
  <Company>HP</Company>
  <DocSecurity>0</DocSecurity>
  <HyperlinksChanged>false</HyperlinksChanged>
  <Lines>30</Lines>
  <LinksUpToDate>false</LinksUpToDate>
  <Pages>1</Pages>
  <Paragraphs>8</Paragraphs>
  <ScaleCrop>false</ScaleCrop>
  <SharedDoc>false</SharedDoc>
  <Template>Normal.dotm</Template>
  <TotalTime>4</TotalTime>
  <Words>645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aa_shahmatov</cp:lastModifiedBy>
  <cp:revision>4</cp:revision>
  <cp:lastPrinted>2022-02-24T08:37:00Z</cp:lastPrinted>
  <dcterms:created xsi:type="dcterms:W3CDTF">2025-10-16T08:55:00Z</dcterms:created>
  <dcterms:modified xsi:type="dcterms:W3CDTF">2026-05-08T12:49:00Z</dcterms:modified>
</cp:coreProperties>
</file>