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6"/>
        <w:ind w:left="0" w:right="0" w:firstLine="0"/>
        <w:jc w:val="left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1. Введение на территории Ленинградской области реестровой модели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выдачи разрешений, направления уведомлений, предусмотренных статьями 51, 51.1, 55 Градостроительного кодекса РФ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 (далее – реестровая модель)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14:ligatures w14:val="none"/>
        </w:rPr>
      </w:r>
    </w:p>
    <w:p>
      <w:pPr>
        <w:pStyle w:val="706"/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</w:p>
    <w:p>
      <w:pPr>
        <w:pStyle w:val="706"/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Федеральным законом от 31.07.2025 № 304-ФЗ «О внесении изменений в отдельные законодательные акты Российской Федерации» были внесены изменения в отдельные федеральные законы, предусматривающие переход к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реестровой модели (в частности, статьей 34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– в Градостроительный кодекс РФ, статьей 59 – в Федеральный закон от 13.07.2015 № 218-ФЗ «О государственной регистрации недвижимос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ти»).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</w:p>
    <w:p>
      <w:pPr>
        <w:pStyle w:val="706"/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В настоящее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время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в рамках реализации реестровой модели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приняты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и опубликованы на официальном интернет-портале правовой информации (pravo.gov.ru)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следующие федеральные подзаконные нормативные правовые акты: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</w:p>
    <w:p>
      <w:pPr>
        <w:pStyle w:val="706"/>
        <w:ind w:left="0" w:right="0" w:firstLine="709"/>
        <w:jc w:val="left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- приказ Минстроя России от 21.04.2026 № 256/пр «Об установлении составов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сведений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, содержащихся в реестре разрешений на строительство объектов капитального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строительства и реестре разрешений на ввод объектов капитального строительства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в эксплуатацию» (http://publication.pravo.gov.ru/document/0001202605270010);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14:ligatures w14:val="none"/>
        </w:rPr>
      </w:r>
    </w:p>
    <w:p>
      <w:pPr>
        <w:pStyle w:val="706"/>
        <w:ind w:left="0" w:right="0" w:firstLine="709"/>
        <w:jc w:val="left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- постановление Правительства Российской Федерации от 25.05.2026 № 596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«О реестре разрешений на строительство объектов капитального строительства и реестре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разрешений на ввод объектов капитального строительства в эксплуатацию»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(http://publication.pravo.gov.ru/document/0001202605260010);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14:ligatures w14:val="none"/>
        </w:rPr>
      </w:r>
    </w:p>
    <w:p>
      <w:pPr>
        <w:pStyle w:val="706"/>
        <w:ind w:left="0" w:right="0" w:firstLine="709"/>
        <w:jc w:val="left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- постановление Правительства Российской Федерации от 23.05.2026 № 589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«О реестре уведомлений о планируемом строительстве объектов индивидуального жилищного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строительства и реестре уведомлений об окончании строительства объектов индивидуального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жилищного строительства» (http://publication.pravo.gov.ru/document/0001202605270031).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При этом согласно части 3 статьи 8.1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Федерального закона от 29.12.2004 № 191</w:t>
        <w:noBreakHyphen/>
        <w:t xml:space="preserve">ФЗ «О введении в действие Градостроительного кодекса Российской Федерации» н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ормативным правовым актом высшего исполнительного органа субъекта Российской Федерации может быть установлено, что выдача разрешений на строительство, прекращение действия таких разрешений, выдача разрешений на ввод объектов в эксплуатацию, внесение изм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нений в ранее выданные разрешения на строительство, разрешения на ввод объектов в эксплуатацию, рассмотрение уведомлений о планируемых строительстве или реконструкции объектов индивидуального жилищного строительства или садового дома, уведомлений об оконча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ии строительства или реконструкции объектов индивидуального жилищного строительства или садового дома в срок до 1 сентября 2027 года осуществляются в соответствии со статьями 51, 51.1 и 55 Градостроительного кодекса Российской Федерации (в редакции, действ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овавшей до 1 сентября 2026 года) с учетом положений, предусмотренных частями 9 и 10 статьи 4 данного Федерального закона. В этом случае формы соответствующих разрешений и уведомлений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, установленные Минстроем России до 1 сентября 2026 го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да, признаются действительными до 1 сентября 2027 года.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 развитие данной нормы постановлением Правительства Ленинградской области от 26.08.2026 № 679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О порядке выдачи разрешений на строительство, прекращения действия таких разрешений, выдачи разрешений на ввод объектов в эксплуатацию, внесения изменений в ранее выданные разрешения на строительство, разрешений на ввод объектов в эксплуатацию, рассмотрени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я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 уведомлений о планируемых строительстве или реконструкции объектов индивидуального жилищного строительства или садового дома, уведомлений об окончании строительства или реконструкции объектов индивидуального жилищного строительства или садового дома в сро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к до 1 сентября 2027 года»,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вступившим в силу с 01.09.2026,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на территории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 Ленинградской области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до 1 сентября 2027 года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продлен  срок действия нереестровой модели выдачи разрешений, направления уведомлений, предусмотренных статьями 51, 51.1, 55 Градостроительного кодекса РФ.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</w:p>
    <w:p>
      <w:pPr>
        <w:pStyle w:val="706"/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cs="Times New Roman"/>
          <w:b w:val="0"/>
          <w:bCs w:val="0"/>
          <w:color w:val="002136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2136"/>
          <w:sz w:val="28"/>
          <w:szCs w:val="28"/>
          <w:highlight w:val="none"/>
        </w:rPr>
      </w:r>
    </w:p>
    <w:p>
      <w:pPr>
        <w:pStyle w:val="706"/>
        <w:ind w:left="0" w:right="0" w:firstLine="0"/>
        <w:jc w:val="left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2. Изменения федерального законодательства, регулирующего порядок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строительства, реконструкции объектов капитального строительства в зонах затопления, подтопления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Пунктом 1 части 3 статьи 67.1 Водного кодекса РФ (в редакции Федерального закона от 04.08.2026 № 301-ФЗ) установлен безусловный запрет на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строительство объектов капитального строительства (за исключением строительства сооружений инженерной защиты, предназначенных для защиты территорий и объектов от негативного воздействия вод)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 в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 границах зон затопления, подтопления.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При этом письмо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Минстроя России от 02.09.2026 исх. № 54339-ИФ/08 содержит общие разъяснения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, согласно которым при выдаче разрешения на ввод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 объекта в эксплуатацию или рассмотрении уведомления об окончании строительства или реконструкции объекта индивидуального жилищного строительства или садового дома в отношении объектов, строительство, реконструкция которых были начаты до вступления в силу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Федерального закона от 04.08.2026 № 301-ФЗ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, следует исходи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ть из обеспеченности таких объектов сооружениями и (или) методами инженерной защиты территорий и объектов от негативного воздействия вод, а также установленного земельным законодательством и законодательством о градостроительной деятельности регулирования.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В настоящее время Правительством Российской Федерации подготовлен проект федерального закона «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О внесении изменений в отдельные законодательные акты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Российской Федерации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», содержащий положения, предусматривающие: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- наделение органов государственной власти субъектов РФ полномочиями по установлению, изменению зон затопления, подтопления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- разделение ограничений, применяемых к зонам затопления и зонам подтопления;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- принципиальную возможность строительства объектов капитального строительства в границах зон затопления, подтопления (в установленных законопроектом случаях);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- дополнительные правовые гарантии для владельцев земельных участков, находящихс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я в зонах затопления;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 переходные положения применительно к объектам индивидуального жилищного строительства и садовым домам, строительство которых было инициировано до 4 августа 2026 года.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Текст законопроекта, одобренный к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омитетом градостроительной политики Ленинградской области (далее – Комитет)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, прилагается.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pStyle w:val="706"/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</w:p>
    <w:p>
      <w:pPr>
        <w:pStyle w:val="706"/>
        <w:ind w:left="0" w:right="0" w:firstLine="0"/>
        <w:jc w:val="left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3. О планируемых изменениях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порядка внесения изменений в документацию по планировке территории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В настоящее время проходит процедуру оценки регулирующего воздействия подготовленный Минстроем России проект постановления Правительства Российской Федерации «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О внесении изменений в постановление Правительства Российской Федерации от 2 февраля 2024 года № 112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» (ID проекта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02/07/09-26/00171312 на сайте regulation.gov.ru)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  <w:t xml:space="preserve">Данным проектом предусматривается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изменение порядка внесения изменений в документацию по планировке территории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  <w:t xml:space="preserve">Действующий порядок содержит правовой пробел, затрудняющий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инициирование корректировки документации по планироке территории, если заинтересованное лицо не участвовало в её первоначальной подготовке. Проектом предлагается предоставить такое право органам власти, физическим и юридическим лицам, заинт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ересованным в строительстве, реконструкции, образовании или изменении земельных участков, а также в установлении, изменении или отмене красных линий.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cs="Times New Roman"/>
          <w:b w:val="0"/>
          <w:bCs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Первоначальному инициатору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документации по планироке территории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 предлагается предоставить десять рабочих дней для согласования изменений. Если ответ не поступит, документы будут считаться согласованными. После этого уполномоченный орган должен рассмотреть заявление и принять решение.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cs="Times New Roman"/>
          <w:b w:val="0"/>
          <w:bCs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</w:rPr>
        <w:t xml:space="preserve">Основания для отказа могут быть связаны с отсутствием необходимых документов, несоответствием задания установленным требованиям, отсутствием объекта в документах территориального планирования или особенностями территории комплексного развития.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06"/>
        <w:ind w:left="0" w:right="0" w:firstLine="0"/>
        <w:jc w:val="left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</w:p>
    <w:p>
      <w:pPr>
        <w:shd w:val="nil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br w:type="page" w:clear="all"/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</w:p>
    <w:p>
      <w:pPr>
        <w:pStyle w:val="706"/>
        <w:ind w:left="0" w:right="0" w:firstLine="0"/>
        <w:jc w:val="left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4. О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 низком уровне удовлетворенности заявителей качеством оказания услуг в сфере градостроительной деятельности, предоставляемых в электронном виде с использованием ЕПГУ и (или) РПГУ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</w:p>
    <w:p>
      <w:pPr>
        <w:pStyle w:val="706"/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</w:p>
    <w:p>
      <w:pPr>
        <w:pStyle w:val="706"/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Комитет градостроительной политики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 Ленинградской области (далее – Комитет) совместно с комитетом экономического развития и инвестиционной деятельности Ленинградской области осуществляет общую координацию по вопросам предоставления муниципальных услуг в сфере градостроительной деятельности: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</w:p>
    <w:tbl>
      <w:tblPr>
        <w:tblStyle w:val="734"/>
        <w:tblW w:w="0" w:type="auto"/>
        <w:tblLayout w:type="autofit"/>
        <w:tblCellMar>
          <w:left w:w="113" w:type="dxa"/>
          <w:top w:w="0" w:type="dxa"/>
          <w:right w:w="113" w:type="dxa"/>
          <w:bottom w:w="0" w:type="dxa"/>
        </w:tblCellMar>
        <w:tblLook w:val="04A0" w:firstRow="1" w:lastRow="0" w:firstColumn="1" w:lastColumn="0" w:noHBand="0" w:noVBand="1"/>
      </w:tblPr>
      <w:tblGrid>
        <w:gridCol w:w="7086"/>
        <w:gridCol w:w="1417"/>
        <w:gridCol w:w="992"/>
      </w:tblGrid>
      <w:tr>
        <w:tblPrEx/>
        <w:trPr>
          <w:trHeight w:val="568"/>
        </w:trPr>
        <w:tc>
          <w:tcPr>
            <w:tcBorders>
              <w:top w:val="single" w:color="000000" w:sz="6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70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Наименование услуги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Количество оцененных заявлений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Средний балл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</w:r>
          </w:p>
        </w:tc>
      </w:tr>
      <w:tr>
        <w:tblPrEx/>
        <w:trPr>
          <w:trHeight w:val="410"/>
        </w:trPr>
        <w:tc>
          <w:tcPr>
            <w:tcBorders>
              <w:top w:val="single" w:color="000000" w:sz="6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u w:val="none"/>
              </w:rPr>
              <w:t xml:space="preserve">4,07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u w:val="none"/>
              </w:rPr>
            </w:r>
          </w:p>
        </w:tc>
      </w:tr>
      <w:tr>
        <w:tblPrEx/>
        <w:trPr>
          <w:trHeight w:val="900"/>
        </w:trPr>
        <w:tc>
          <w:tcPr>
            <w:tcBorders>
              <w:top w:val="single" w:color="000000" w:sz="6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708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Выдача градостроительного плана земельного участка (Выдача градостроительного плана земельного участка) 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665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4,36</w:t>
            </w:r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708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Выдача градостроительного плана земельного участка (Исправление технической ошибки в градостроительном плане земельного участка)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3,00</w:t>
            </w:r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708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Выдача градостроительного плана земельного участка (Получение дубликата градостроительного плана земельного участка)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3,71</w:t>
            </w:r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708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Направление уведо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мления о планируемых строительстве или реконструкции объекта индивидуального жилищного строительства или садового дома (Направление уведомления о планируемых строительстве или реконструкции объекта индивидуального жилищного строительства или садового дома)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621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4,39</w:t>
            </w:r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708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Направление уведомления о планируемом сносе или о завершении сноса объекта капитального строительства (Направление уведомления о планируемом сносе объекта капитального строительства)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19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4,32</w:t>
            </w:r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708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Направление уведомления об окончании строительства или реконструкции объекта индивидуального жилищного строительства или садового дома (Направление уведомления об окончании строительства)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152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4,46</w:t>
            </w:r>
            <w:r/>
          </w:p>
        </w:tc>
      </w:tr>
      <w:tr>
        <w:tblPrEx/>
        <w:trPr>
          <w:trHeight w:val="109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708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Направление уведомления об окончании строительства или реконструкции объек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та индивидуального жилищного строительства или садового дома (Исправление технической ошибки в уведомлении о соответствии (несоответствии) объекта индивидуального жилищного строительства или садового дома требованиям градостроительного законодательства РФ)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4,44</w:t>
            </w:r>
            <w:r/>
          </w:p>
        </w:tc>
      </w:tr>
      <w:tr>
        <w:tblPrEx/>
        <w:trPr>
          <w:trHeight w:val="9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7086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Выдача разрешения на условно разрешенный вид использования земельного участка или объекта капитального строительства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11</w:t>
            </w:r>
            <w:r/>
          </w:p>
        </w:tc>
        <w:tc>
          <w:tcPr>
            <w:shd w:val="clear" w:color="ffffff" w:fill="ffffff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3,91</w:t>
            </w:r>
            <w:r/>
          </w:p>
        </w:tc>
      </w:tr>
    </w:tbl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Средняя оценка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ровня удовлетворенности заявителей качеством оказания перечисленных муниципальных услуг  (далее – Показатель)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ниже целевого значения в 4,5 балла.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Основными причинами неудовлетворенности заявителей являются: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left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- отказ в предоставлении услуги без развернутого и мотивированного пояснения причин такого отказа;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left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- невозможность прикрепить к заявлению обязательные докуме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нты;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left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- технические ошибки при подаче заявления;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left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- нарушение регламентных сроков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рассмотрения заявления;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left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- 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недостаточная информированность заявителей о ходе оказания услуги.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Таблица с обратной связью заявителей прилагается.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На основе данной таблицы Комитетом подготовлен рейтинг достижения целевого значения Показателя в разрезе муниципальных образований (прилагается).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С целью достижения целевого значения Показателя прошу организовать проведение на систематической основе детального анализа причин низкой удовлетворенности заявителя по каждой услуге, оценка по которой ниже 4,5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балла, с использованием системы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бизнес мониторинга Госуслуг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«РТАналитика», обеспечив регулярный мониторинг обратной связи заявителей и оперативное реагирование на каждый отрицательный отзыв. Инструкция по регистрации в системе 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«РТАналитика»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 прилагается.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Отказ в предоставлении услуги до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лжен быть развернутым, содержать конкретное обоснование со ссылкой на норму законодательства и указанием на недостающие документы или сведения, а также порядок и сроки устранения выявленных недостатков.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Результат предоставления услуги должен быть оформлен в строгом соответствии с административным регламентом. Формальные и немотивированные отказы недопустимы.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Прошу также провести анализ портальных форм заявлений на ЕПГУ на предмет наличия полей для 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рикрепления обязательных документов и сведений, необходимых для предоставления услуг. При выявлении технических замечаний, в том числе связанных с отсутствием полей для загрузки документов и иными сбоями, необходимо незамедлительно обращаться в службу техн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ической поддержки и в комитет экономического развития и инвестиционной деятельности Ленинградской области.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  <w:t xml:space="preserve">Особое внимание прошу обратить на следующие заявления: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  <w:t xml:space="preserve">- № 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  <w:t xml:space="preserve">8020780255 (Гатчинский муниципальный округ);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  <w:t xml:space="preserve">- № 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  <w:t xml:space="preserve">7945425752 (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  <w:t xml:space="preserve">Аннинское городское поселение);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  <w:t xml:space="preserve">- № 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  <w:t xml:space="preserve">7510240146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  <w:t xml:space="preserve"> (Всеволожский муниципальный район);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  <w:t xml:space="preserve">- 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  <w:t xml:space="preserve">№ 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  <w:t xml:space="preserve">7188191688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  <w:t xml:space="preserve"> (Красноборское городское поселение).</w:t>
      </w:r>
      <w:r/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Также п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ри планировании работы рекомендуется в первую очередь сосредоточиться на услугах, по которым зафиксировано наименьшее количество оценок, так как по ним каждая от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</w:rPr>
        <w:t xml:space="preserve">рицательная оценка непропорционально снижает средний балл (исходя из применяемой в настоящее время методики расчета).</w:t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2136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shd w:val="nil" w:color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br w:type="page" w:clear="all"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5. О планировании проверок соблюдения органами местного самоуправления законодательства о градостроительной деятельности на 2027 год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Комитетом утвержден согласованный с прокуратурой Ленинградской области  ежегодный план проведения проверок деятельности органов местного самоуправления и должностных лиц местного сам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оуправления на 2027 год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tbl>
      <w:tblPr>
        <w:tblStyle w:val="734"/>
        <w:tblW w:w="0" w:type="auto"/>
        <w:tblLayout w:type="fixed"/>
        <w:tblLook w:val="04A0" w:firstRow="1" w:lastRow="0" w:firstColumn="1" w:lastColumn="0" w:noHBand="0" w:noVBand="1"/>
      </w:tblPr>
      <w:tblGrid>
        <w:gridCol w:w="7512"/>
        <w:gridCol w:w="1843"/>
      </w:tblGrid>
      <w:tr>
        <w:tblPrEx/>
        <w:trPr>
          <w:trHeight w:val="864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7512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szCs w:val="24"/>
                <w:u w:val="none"/>
              </w:rPr>
              <w:t xml:space="preserve">Наименование проверяемого органа местного самоуправления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szCs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szCs w:val="24"/>
                <w:u w:val="none"/>
              </w:rPr>
              <w:t xml:space="preserve">Дата начала проведения проверки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szCs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4"/>
                <w:szCs w:val="24"/>
                <w:u w:val="none"/>
              </w:rPr>
            </w:r>
          </w:p>
        </w:tc>
      </w:tr>
      <w:tr>
        <w:tblPrEx/>
        <w:trPr>
          <w:trHeight w:val="864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7512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Администрация Рахьинского городского поселения Всеволожского муниципального района Ленинградской области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11.01.2027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64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7512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Администрация Кировского городского поселения Кировского муниципального района Ленинградской области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01.02.2027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152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7512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01.03.2027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64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7512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Администрация Шлиссельбургского городского поселения Кировского муниципального района Ленинградской области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01.04.2027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64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7512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Администрация муниципального образования «Токсовское городское поселение» Всеволожского муниципального района Ленинградской области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04.05.2027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64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7512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Администрация Лебяженского городского поселения Ломоносовского муниципального района ленинградской области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01.06.2027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152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7512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Комитет по управлению муниципальным имуществом и градостроительству администрации Выборгского муниципального района Ленинградской области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06.09.2027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64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7512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Администрация Свердловского городского поселения Всеволожского муниципального района Ленинградской области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01.10.2027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64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7512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Администрация Приозерского муниципального района Ленинградской области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15.11.2027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Полная версия плана проверок в отсканированном виде размещена на официальном сайте Комитета по адресу: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hyperlink r:id="rId12" w:tooltip="https://arch.lenobl.ru/" w:history="1">
        <w:r>
          <w:rPr>
            <w:rStyle w:val="860"/>
            <w:rFonts w:ascii="Times New Roman" w:hAnsi="Times New Roman" w:eastAsia="Times New Roman" w:cs="Times New Roman"/>
            <w:b w:val="0"/>
            <w:bCs w:val="0"/>
            <w:sz w:val="28"/>
            <w:szCs w:val="28"/>
            <w:highlight w:val="none"/>
          </w:rPr>
          <w:t xml:space="preserve">https://arch.lenobl.ru/</w:t>
        </w:r>
      </w:hyperlink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в разделе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Главная &gt; Деятельность &gt; Контроль за соблюдением органами местного самоуправления законодательства о градостроительной деятельности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Особое внимание при проведении проверок будет уделяться вопросам з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аконности предоставления муниципальных услуг в сфере градостроительной деятельности, полноте и своевременности направления материалов для размещения в Государственной информационной системе обеспечения градостроительной деятельности Ленинградской области.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8"/>
      <w:jc w:val="center"/>
      <w:rPr>
        <w:rFonts w:ascii="Times New Roman" w:hAnsi="Times New Roman" w:cs="Times New Roman"/>
        <w:sz w:val="24"/>
        <w:szCs w:val="24"/>
      </w:rPr>
    </w:pPr>
    <w:fldSimple w:instr="PAGE \* MERGEFORMAT">
      <w:r>
        <w:rPr>
          <w:rFonts w:ascii="Times New Roman" w:hAnsi="Times New Roman" w:eastAsia="Times New Roman" w:cs="Times New Roman"/>
          <w:sz w:val="24"/>
          <w:szCs w:val="24"/>
        </w:rPr>
        <w:t xml:space="preserve">1</w:t>
      </w:r>
    </w:fldSimple>
    <w:r>
      <w:rPr>
        <w:rFonts w:ascii="Times New Roman" w:hAnsi="Times New Roman" w:eastAsia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  <w:p>
    <w:pPr>
      <w:pStyle w:val="72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2">
    <w:name w:val="Heading 1"/>
    <w:basedOn w:val="878"/>
    <w:next w:val="878"/>
    <w:link w:val="703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03">
    <w:name w:val="Heading 1 Char"/>
    <w:link w:val="702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04">
    <w:name w:val="Heading 2"/>
    <w:basedOn w:val="878"/>
    <w:next w:val="878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05">
    <w:name w:val="Heading 2 Char"/>
    <w:link w:val="704"/>
    <w:uiPriority w:val="9"/>
    <w:rPr>
      <w:rFonts w:ascii="Liberation Sans" w:hAnsi="Liberation Sans" w:eastAsia="Liberation Sans" w:cs="Liberation Sans"/>
      <w:sz w:val="34"/>
    </w:rPr>
  </w:style>
  <w:style w:type="paragraph" w:styleId="706">
    <w:name w:val="Heading 3"/>
    <w:basedOn w:val="878"/>
    <w:next w:val="878"/>
    <w:link w:val="707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07">
    <w:name w:val="Heading 3 Char"/>
    <w:link w:val="706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08">
    <w:name w:val="Heading 4"/>
    <w:basedOn w:val="878"/>
    <w:next w:val="878"/>
    <w:link w:val="709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9">
    <w:name w:val="Heading 4 Char"/>
    <w:link w:val="70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10">
    <w:name w:val="Heading 5"/>
    <w:basedOn w:val="878"/>
    <w:next w:val="878"/>
    <w:link w:val="711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1">
    <w:name w:val="Heading 5 Char"/>
    <w:link w:val="71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12">
    <w:name w:val="Heading 6"/>
    <w:basedOn w:val="878"/>
    <w:next w:val="878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3">
    <w:name w:val="Heading 6 Char"/>
    <w:link w:val="71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14">
    <w:name w:val="Heading 7"/>
    <w:basedOn w:val="878"/>
    <w:next w:val="878"/>
    <w:link w:val="71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5">
    <w:name w:val="Heading 7 Char"/>
    <w:link w:val="71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16">
    <w:name w:val="Heading 8"/>
    <w:basedOn w:val="878"/>
    <w:next w:val="878"/>
    <w:link w:val="717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7">
    <w:name w:val="Heading 8 Char"/>
    <w:link w:val="71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18">
    <w:name w:val="Heading 9"/>
    <w:basedOn w:val="878"/>
    <w:next w:val="878"/>
    <w:link w:val="71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9">
    <w:name w:val="Heading 9 Char"/>
    <w:link w:val="71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20">
    <w:name w:val="Title"/>
    <w:basedOn w:val="878"/>
    <w:next w:val="878"/>
    <w:link w:val="72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1">
    <w:name w:val="Title Char"/>
    <w:link w:val="720"/>
    <w:uiPriority w:val="10"/>
    <w:rPr>
      <w:sz w:val="48"/>
      <w:szCs w:val="48"/>
    </w:rPr>
  </w:style>
  <w:style w:type="paragraph" w:styleId="722">
    <w:name w:val="Subtitle"/>
    <w:basedOn w:val="878"/>
    <w:next w:val="878"/>
    <w:link w:val="723"/>
    <w:uiPriority w:val="11"/>
    <w:qFormat/>
    <w:pPr>
      <w:spacing w:before="200" w:after="200"/>
    </w:pPr>
    <w:rPr>
      <w:sz w:val="24"/>
      <w:szCs w:val="24"/>
    </w:rPr>
  </w:style>
  <w:style w:type="character" w:styleId="723">
    <w:name w:val="Subtitle Char"/>
    <w:link w:val="722"/>
    <w:uiPriority w:val="11"/>
    <w:rPr>
      <w:sz w:val="24"/>
      <w:szCs w:val="24"/>
    </w:rPr>
  </w:style>
  <w:style w:type="paragraph" w:styleId="724">
    <w:name w:val="Quote"/>
    <w:basedOn w:val="878"/>
    <w:next w:val="878"/>
    <w:link w:val="725"/>
    <w:uiPriority w:val="29"/>
    <w:qFormat/>
    <w:pPr>
      <w:ind w:left="720" w:right="720"/>
    </w:pPr>
    <w:rPr>
      <w:i/>
    </w:rPr>
  </w:style>
  <w:style w:type="character" w:styleId="725">
    <w:name w:val="Quote Char"/>
    <w:link w:val="724"/>
    <w:uiPriority w:val="29"/>
    <w:rPr>
      <w:i/>
    </w:rPr>
  </w:style>
  <w:style w:type="paragraph" w:styleId="726">
    <w:name w:val="Intense Quote"/>
    <w:basedOn w:val="878"/>
    <w:next w:val="878"/>
    <w:link w:val="72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7">
    <w:name w:val="Intense Quote Char"/>
    <w:link w:val="726"/>
    <w:uiPriority w:val="30"/>
    <w:rPr>
      <w:i/>
    </w:rPr>
  </w:style>
  <w:style w:type="paragraph" w:styleId="728">
    <w:name w:val="Header"/>
    <w:basedOn w:val="878"/>
    <w:link w:val="72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Header Char"/>
    <w:link w:val="728"/>
    <w:uiPriority w:val="99"/>
  </w:style>
  <w:style w:type="paragraph" w:styleId="730">
    <w:name w:val="Footer"/>
    <w:basedOn w:val="878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1">
    <w:name w:val="Footer Char"/>
    <w:link w:val="730"/>
    <w:uiPriority w:val="99"/>
  </w:style>
  <w:style w:type="paragraph" w:styleId="732">
    <w:name w:val="Caption"/>
    <w:basedOn w:val="878"/>
    <w:next w:val="878"/>
    <w:link w:val="7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3">
    <w:name w:val="Caption Char"/>
    <w:link w:val="732"/>
    <w:uiPriority w:val="35"/>
    <w:rPr>
      <w:b/>
      <w:bCs/>
      <w:color w:val="4f81bd" w:themeColor="accent1"/>
      <w:sz w:val="18"/>
      <w:szCs w:val="18"/>
    </w:rPr>
  </w:style>
  <w:style w:type="table" w:styleId="734">
    <w:name w:val="Table Grid"/>
    <w:basedOn w:val="87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5">
    <w:name w:val="Table Grid Light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>
    <w:name w:val="Plain Table 1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7">
    <w:name w:val="Plain Table 2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8">
    <w:name w:val="Plain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9">
    <w:name w:val="Plain Table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Plain Table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1">
    <w:name w:val="Grid Table 1 Light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4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3">
    <w:name w:val="Grid Table 4 - Accent 1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4">
    <w:name w:val="Grid Table 4 - Accent 2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5">
    <w:name w:val="Grid Table 4 - Accent 3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6">
    <w:name w:val="Grid Table 4 - Accent 4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7">
    <w:name w:val="Grid Table 4 - Accent 5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8">
    <w:name w:val="Grid Table 4 - Accent 6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9">
    <w:name w:val="Grid Table 5 Dark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3">
    <w:name w:val="Grid Table 5 Dark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6">
    <w:name w:val="Grid Table 6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77">
    <w:name w:val="Grid Table 6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78">
    <w:name w:val="Grid Table 6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79">
    <w:name w:val="Grid Table 6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80">
    <w:name w:val="Grid Table 6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81">
    <w:name w:val="Grid Table 6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2">
    <w:name w:val="Grid Table 6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3">
    <w:name w:val="Grid Table 7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8">
    <w:name w:val="List Table 2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9">
    <w:name w:val="List Table 2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0">
    <w:name w:val="List Table 2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1">
    <w:name w:val="List Table 2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2">
    <w:name w:val="List Table 2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3">
    <w:name w:val="List Table 2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4">
    <w:name w:val="List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5 Dark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9">
    <w:name w:val="List Table 5 Dark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0">
    <w:name w:val="List Table 5 Dark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1">
    <w:name w:val="List Table 5 Dark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2">
    <w:name w:val="List Table 5 Dark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3">
    <w:name w:val="List Table 5 Dark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4">
    <w:name w:val="List Table 5 Dark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5">
    <w:name w:val="List Table 6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6">
    <w:name w:val="List Table 6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7">
    <w:name w:val="List Table 6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8">
    <w:name w:val="List Table 6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9">
    <w:name w:val="List Table 6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0">
    <w:name w:val="List Table 6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1">
    <w:name w:val="List Table 6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2">
    <w:name w:val="List Table 7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33">
    <w:name w:val="List Table 7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34">
    <w:name w:val="List Table 7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35">
    <w:name w:val="List Table 7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36">
    <w:name w:val="List Table 7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37">
    <w:name w:val="List Table 7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38">
    <w:name w:val="List Table 7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39">
    <w:name w:val="Lined - Accent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Lined - Accent 1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1">
    <w:name w:val="Lined - Accent 2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2">
    <w:name w:val="Lined - Accent 3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3">
    <w:name w:val="Lined - Accent 4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4">
    <w:name w:val="Lined - Accent 5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5">
    <w:name w:val="Lined - Accent 6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6">
    <w:name w:val="Bordered &amp; Lined - Accent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7">
    <w:name w:val="Bordered &amp; Lined - Accent 1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8">
    <w:name w:val="Bordered &amp; Lined - Accent 2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9">
    <w:name w:val="Bordered &amp; Lined - Accent 3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0">
    <w:name w:val="Bordered &amp; Lined - Accent 4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1">
    <w:name w:val="Bordered &amp; Lined - Accent 5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2">
    <w:name w:val="Bordered &amp; Lined - Accent 6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3">
    <w:name w:val="Bordered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4">
    <w:name w:val="Bordered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5">
    <w:name w:val="Bordered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6">
    <w:name w:val="Bordered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7">
    <w:name w:val="Bordered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8">
    <w:name w:val="Bordered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9">
    <w:name w:val="Bordered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0">
    <w:name w:val="Hyperlink"/>
    <w:uiPriority w:val="99"/>
    <w:unhideWhenUsed/>
    <w:rPr>
      <w:color w:val="0000ff" w:themeColor="hyperlink"/>
      <w:u w:val="single"/>
    </w:rPr>
  </w:style>
  <w:style w:type="paragraph" w:styleId="861">
    <w:name w:val="footnote text"/>
    <w:basedOn w:val="878"/>
    <w:link w:val="862"/>
    <w:uiPriority w:val="99"/>
    <w:semiHidden/>
    <w:unhideWhenUsed/>
    <w:pPr>
      <w:spacing w:after="40" w:line="240" w:lineRule="auto"/>
    </w:pPr>
    <w:rPr>
      <w:sz w:val="18"/>
    </w:rPr>
  </w:style>
  <w:style w:type="character" w:styleId="862">
    <w:name w:val="Footnote Text Char"/>
    <w:link w:val="861"/>
    <w:uiPriority w:val="99"/>
    <w:rPr>
      <w:sz w:val="18"/>
    </w:rPr>
  </w:style>
  <w:style w:type="character" w:styleId="863">
    <w:name w:val="footnote reference"/>
    <w:uiPriority w:val="99"/>
    <w:unhideWhenUsed/>
    <w:rPr>
      <w:vertAlign w:val="superscript"/>
    </w:rPr>
  </w:style>
  <w:style w:type="paragraph" w:styleId="864">
    <w:name w:val="endnote text"/>
    <w:basedOn w:val="878"/>
    <w:link w:val="865"/>
    <w:uiPriority w:val="99"/>
    <w:semiHidden/>
    <w:unhideWhenUsed/>
    <w:pPr>
      <w:spacing w:after="0" w:line="240" w:lineRule="auto"/>
    </w:pPr>
    <w:rPr>
      <w:sz w:val="20"/>
    </w:rPr>
  </w:style>
  <w:style w:type="character" w:styleId="865">
    <w:name w:val="Endnote Text Char"/>
    <w:link w:val="864"/>
    <w:uiPriority w:val="99"/>
    <w:rPr>
      <w:sz w:val="20"/>
    </w:rPr>
  </w:style>
  <w:style w:type="character" w:styleId="866">
    <w:name w:val="endnote reference"/>
    <w:uiPriority w:val="99"/>
    <w:semiHidden/>
    <w:unhideWhenUsed/>
    <w:rPr>
      <w:vertAlign w:val="superscript"/>
    </w:rPr>
  </w:style>
  <w:style w:type="paragraph" w:styleId="867">
    <w:name w:val="toc 1"/>
    <w:basedOn w:val="878"/>
    <w:next w:val="878"/>
    <w:uiPriority w:val="39"/>
    <w:unhideWhenUsed/>
    <w:pPr>
      <w:ind w:left="0" w:right="0" w:firstLine="0"/>
      <w:spacing w:after="57"/>
    </w:pPr>
  </w:style>
  <w:style w:type="paragraph" w:styleId="868">
    <w:name w:val="toc 2"/>
    <w:basedOn w:val="878"/>
    <w:next w:val="878"/>
    <w:uiPriority w:val="39"/>
    <w:unhideWhenUsed/>
    <w:pPr>
      <w:ind w:left="283" w:right="0" w:firstLine="0"/>
      <w:spacing w:after="57"/>
    </w:pPr>
  </w:style>
  <w:style w:type="paragraph" w:styleId="869">
    <w:name w:val="toc 3"/>
    <w:basedOn w:val="878"/>
    <w:next w:val="878"/>
    <w:uiPriority w:val="39"/>
    <w:unhideWhenUsed/>
    <w:pPr>
      <w:ind w:left="567" w:right="0" w:firstLine="0"/>
      <w:spacing w:after="57"/>
    </w:pPr>
  </w:style>
  <w:style w:type="paragraph" w:styleId="870">
    <w:name w:val="toc 4"/>
    <w:basedOn w:val="878"/>
    <w:next w:val="878"/>
    <w:uiPriority w:val="39"/>
    <w:unhideWhenUsed/>
    <w:pPr>
      <w:ind w:left="850" w:right="0" w:firstLine="0"/>
      <w:spacing w:after="57"/>
    </w:pPr>
  </w:style>
  <w:style w:type="paragraph" w:styleId="871">
    <w:name w:val="toc 5"/>
    <w:basedOn w:val="878"/>
    <w:next w:val="878"/>
    <w:uiPriority w:val="39"/>
    <w:unhideWhenUsed/>
    <w:pPr>
      <w:ind w:left="1134" w:right="0" w:firstLine="0"/>
      <w:spacing w:after="57"/>
    </w:pPr>
  </w:style>
  <w:style w:type="paragraph" w:styleId="872">
    <w:name w:val="toc 6"/>
    <w:basedOn w:val="878"/>
    <w:next w:val="878"/>
    <w:uiPriority w:val="39"/>
    <w:unhideWhenUsed/>
    <w:pPr>
      <w:ind w:left="1417" w:right="0" w:firstLine="0"/>
      <w:spacing w:after="57"/>
    </w:pPr>
  </w:style>
  <w:style w:type="paragraph" w:styleId="873">
    <w:name w:val="toc 7"/>
    <w:basedOn w:val="878"/>
    <w:next w:val="878"/>
    <w:uiPriority w:val="39"/>
    <w:unhideWhenUsed/>
    <w:pPr>
      <w:ind w:left="1701" w:right="0" w:firstLine="0"/>
      <w:spacing w:after="57"/>
    </w:pPr>
  </w:style>
  <w:style w:type="paragraph" w:styleId="874">
    <w:name w:val="toc 8"/>
    <w:basedOn w:val="878"/>
    <w:next w:val="878"/>
    <w:uiPriority w:val="39"/>
    <w:unhideWhenUsed/>
    <w:pPr>
      <w:ind w:left="1984" w:right="0" w:firstLine="0"/>
      <w:spacing w:after="57"/>
    </w:pPr>
  </w:style>
  <w:style w:type="paragraph" w:styleId="875">
    <w:name w:val="toc 9"/>
    <w:basedOn w:val="878"/>
    <w:next w:val="878"/>
    <w:uiPriority w:val="39"/>
    <w:unhideWhenUsed/>
    <w:pPr>
      <w:ind w:left="2268" w:right="0" w:firstLine="0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878"/>
    <w:next w:val="878"/>
    <w:uiPriority w:val="99"/>
    <w:unhideWhenUsed/>
    <w:pPr>
      <w:spacing w:after="0" w:afterAutospacing="0"/>
    </w:pPr>
  </w:style>
  <w:style w:type="paragraph" w:styleId="878" w:default="1">
    <w:name w:val="Normal"/>
    <w:qFormat/>
  </w:style>
  <w:style w:type="table" w:styleId="8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0" w:default="1">
    <w:name w:val="No List"/>
    <w:uiPriority w:val="99"/>
    <w:semiHidden/>
    <w:unhideWhenUsed/>
  </w:style>
  <w:style w:type="paragraph" w:styleId="881">
    <w:name w:val="No Spacing"/>
    <w:basedOn w:val="878"/>
    <w:uiPriority w:val="1"/>
    <w:qFormat/>
    <w:pPr>
      <w:spacing w:after="0" w:line="240" w:lineRule="auto"/>
    </w:pPr>
  </w:style>
  <w:style w:type="paragraph" w:styleId="882">
    <w:name w:val="List Paragraph"/>
    <w:basedOn w:val="878"/>
    <w:uiPriority w:val="34"/>
    <w:qFormat/>
    <w:pPr>
      <w:contextualSpacing/>
      <w:ind w:left="720"/>
    </w:pPr>
  </w:style>
  <w:style w:type="character" w:styleId="883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hyperlink" Target="https://arch.lenobl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aa_shahmatov</cp:lastModifiedBy>
  <cp:revision>7</cp:revision>
  <dcterms:modified xsi:type="dcterms:W3CDTF">2026-10-29T13:04:47Z</dcterms:modified>
</cp:coreProperties>
</file>