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Информация к семинару с участием органов местного самоуправления на тему «О контроле за соблюдением законодательства о градостроительной деятельности»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I. Действующие нормы федерального и областного законодательства, устанавливающие особенности осуществления градостроительной деятельности.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на территории Ленинградской области дейст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вуют следующие нормативные правовые акты, устанавливающие особенности осуществления градостроительной деятельности применительно к выдаче градостроительных планов земельных участков, разрешений на строительство и разрешений на ввод объектов в эксплуатацию: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29.12.2004 № 191-ФЗ «О введении в действие Градостроительного кодекса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Федеральный закон от 14.03.2022 № 58-ФЗ «О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РФ от 12.03.2022 № 353 «Об особенностях разрешительной деятельности в Российской Федерации» (далее – Постановление № 353)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постановление Правительства РФ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бъектов, а также выдачи необходимых для этих целей градостроительных планов земельных участков» (вместе с «Правилами выдачи разрешений на строительство объектов капитального строительства, не являющихся линейными объектами, на двух и более земельных участк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ах, разрешений на ввод в эксплуатацию таких объектов, а также выдачи необходимых для этих целей градостроительных планов земельных участков»);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Правительства РФ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12.11.2020 №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территории, перечня случаев, при кото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ых для строительства, реконструкции объекта капитального строительства не требуется получение разрешения на строительство, перечня случаев, при которых для создания горных выработок в ходе ведения горных работ не требуется получение разрешения на строитель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признании утратившими силу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бластной закон от 18.05.2012 № 38-оз «Об установлении случаев, при которых не требуется получение разрешения на строительство на территории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обратить внимание, что в силу пунктов 1, 3 части 10 статьи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29.12.2004 № 191-ФЗ «О введении в действие Градостроительного кодекса Российской Федерации» до 1 января 2027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применительно к объектам капитального строительства, разрешения на строительство которых выданы до 1 января 2024 года и по которым не выданы разрешения на ввод их в эксплуатацию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не применяются положения пункта 8 части 21.15 статьи 51 Градостроительного кодекса РФ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подаче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spacing w:before="113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тказ в выдаче разрешения на ввод объекта в эксплуатацию, отказ во внесении изменений в разрешение на строительство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осуществляются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на дату выдачи разре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шения на строительство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(а не на дату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принятия решения о внесении изменений в разрешение на строи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тельство, как это предусмотрено пунктом 5 части 21.15 статьи 51 Градостроительного кодекса РФ, или на дату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выдачи разрешения на ввод объекта в эксплуатацию, как это предусмотрено пунктом 5 части 6 статьи 55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Градостроительного кодекса РФ)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следует учесть, что пункт 4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№ 353 наделяет в 2026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уполномоченные исполнительные органы субъектов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 принимать решения в части установления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 осуществления градостроительной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широкому кругу вопросов, связанных с выдачей разрешений (в частности,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сокращении срока предоставления разрешения, переоформления разрешения, внесения изменений в реестр разрешений, продления срока действия разрешения, осуществления подтверждения соответствия обязательным требованиям,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прекращения действия разрешения, а также предоставления иных государственных (муниципальных) услуг в сфере разрешительной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сокращении перечня документов и (или) сведений, представляемых для получения разрешения, переоформления разрешения, внесения изменений в реестр разрешений на основании заявления лица, которому было предоставлено разрешение, продления срока действия разреш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сокращении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еречня обязательных требований (условий),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которым является необходимым условием для предоставления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Ленинградской области от 18.04.2022 № 249 «О реализации отдельных положений постановления Правительства Российской Федерации от 12 марта 2022 года № 353 «Об особенностях разрешительной деятельности в Российской Федерации» в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градостроительной деятельности» на 2026 год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продлевались, иные нормативные правовые акты Ленинградской области в развитие положений пункта 4 Постановления № 353 не принимались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 xml:space="preserve">Изменения областного законодательства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05.04.2022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в Ленинградской области в 2022-2025 годах генеральных планов, пра</w:t>
      </w:r>
      <w:r>
        <w:rPr>
          <w:rFonts w:ascii="Times New Roman" w:hAnsi="Times New Roman" w:cs="Times New Roman"/>
          <w:sz w:val="28"/>
          <w:szCs w:val="28"/>
        </w:rPr>
        <w:t xml:space="preserve">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суждений или публичных слушаний».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с</w:t>
      </w:r>
      <w:r>
        <w:rPr>
          <w:rFonts w:ascii="Times New Roman" w:hAnsi="Times New Roman" w:cs="Times New Roman"/>
          <w:sz w:val="28"/>
          <w:szCs w:val="28"/>
        </w:rPr>
        <w:t xml:space="preserve">рок действия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31 декабря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7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28.12.2025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507-ФЗ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Градостроительный кодекс Российской Федерации и отдельные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ые акты Российской Федерации» право </w:t>
      </w:r>
      <w:r>
        <w:rPr>
          <w:rFonts w:ascii="Times New Roman" w:hAnsi="Times New Roman" w:cs="Times New Roman"/>
          <w:sz w:val="28"/>
          <w:szCs w:val="28"/>
        </w:rPr>
        <w:t xml:space="preserve">высш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  <w:t xml:space="preserve">ию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 xml:space="preserve">ев </w:t>
      </w:r>
      <w:r>
        <w:rPr>
          <w:rFonts w:ascii="Times New Roman" w:hAnsi="Times New Roman" w:cs="Times New Roman"/>
          <w:sz w:val="28"/>
          <w:szCs w:val="28"/>
        </w:rPr>
        <w:t xml:space="preserve">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генеральных планов, правил землепользования и застройки, проектов планировки территории, проектов межевания территории, </w:t>
      </w:r>
      <w:r>
        <w:rPr>
          <w:rFonts w:ascii="Times New Roman" w:hAnsi="Times New Roman" w:cs="Times New Roman"/>
          <w:sz w:val="28"/>
          <w:szCs w:val="28"/>
        </w:rPr>
        <w:t xml:space="preserve">а также внесению в них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или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продлено на</w:t>
      </w:r>
      <w:r>
        <w:rPr>
          <w:rFonts w:ascii="Times New Roman" w:hAnsi="Times New Roman" w:cs="Times New Roman"/>
          <w:sz w:val="28"/>
          <w:szCs w:val="28"/>
        </w:rPr>
        <w:t xml:space="preserve"> 2026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Комитетом градостроительной политики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проект постановления Правительства Ленинградской области о продлении </w:t>
      </w:r>
      <w:r>
        <w:rPr>
          <w:rFonts w:ascii="Times New Roman" w:hAnsi="Times New Roman" w:cs="Times New Roman"/>
          <w:sz w:val="28"/>
          <w:szCs w:val="28"/>
        </w:rPr>
        <w:t xml:space="preserve">срока действия 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05.04.2022 № 203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2026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18.04.2022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 П</w:t>
      </w:r>
      <w:r>
        <w:rPr>
          <w:rFonts w:ascii="Times New Roman" w:hAnsi="Times New Roman" w:cs="Times New Roman"/>
          <w:sz w:val="28"/>
          <w:szCs w:val="28"/>
        </w:rPr>
        <w:t xml:space="preserve">оряд</w:t>
      </w:r>
      <w:r>
        <w:rPr>
          <w:rFonts w:ascii="Times New Roman" w:hAnsi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проектов документов территориального планирования в Администрации Ленинградской области в 2022-2025 годах и о признании временно не подлежащим применению постановления Правительства Ленинградской области от 14 июля 2008 года </w:t>
      </w:r>
      <w:r>
        <w:rPr>
          <w:rFonts w:ascii="Times New Roman" w:hAnsi="Times New Roman" w:cs="Times New Roman"/>
          <w:sz w:val="28"/>
          <w:szCs w:val="28"/>
        </w:rPr>
        <w:t xml:space="preserve">№ 204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рассмотрения проектов документов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указанного постановления до 1 января 2026 года не подлежит </w:t>
      </w:r>
      <w:r>
        <w:rPr>
          <w:rFonts w:ascii="Times New Roman" w:hAnsi="Times New Roman" w:cs="Times New Roman"/>
          <w:sz w:val="28"/>
          <w:szCs w:val="28"/>
        </w:rPr>
        <w:t xml:space="preserve">применению </w:t>
      </w:r>
      <w:hyperlink r:id="rId12" w:tooltip="https://login.consultant.ru/link/?req=doc&amp;base=SPB&amp;n=215384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14</w:t>
      </w:r>
      <w:r>
        <w:rPr>
          <w:rFonts w:ascii="Times New Roman" w:hAnsi="Times New Roman" w:cs="Times New Roman"/>
          <w:sz w:val="28"/>
          <w:szCs w:val="28"/>
        </w:rPr>
        <w:t xml:space="preserve">.07.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№ 204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проектов документов территориального планирования 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унктом 2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18.04.2022 № 243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 </w:t>
      </w:r>
      <w:r>
        <w:rPr>
          <w:rFonts w:ascii="Times New Roman" w:hAnsi="Times New Roman" w:cs="Times New Roman"/>
          <w:sz w:val="28"/>
          <w:szCs w:val="28"/>
        </w:rPr>
        <w:t xml:space="preserve">оно</w:t>
      </w:r>
      <w:r>
        <w:rPr>
          <w:rFonts w:ascii="Times New Roman" w:hAnsi="Times New Roman" w:cs="Times New Roman"/>
          <w:sz w:val="28"/>
          <w:szCs w:val="28"/>
        </w:rPr>
        <w:t xml:space="preserve"> действует в период 2022 - 2025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начиная </w:t>
      </w:r>
      <w:r>
        <w:rPr>
          <w:rFonts w:ascii="Times New Roman" w:hAnsi="Times New Roman" w:cs="Times New Roman"/>
          <w:sz w:val="28"/>
          <w:szCs w:val="28"/>
        </w:rPr>
        <w:t xml:space="preserve">с 01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 рассмотрения проектов документов территориального планирования в Администрации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13" w:tooltip="https://login.consultant.ru/link/?req=doc&amp;base=SPB&amp;n=215384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14.07.2008 № 204</w:t>
      </w:r>
      <w:r>
        <w:rPr>
          <w:rFonts w:ascii="Times New Roman" w:hAnsi="Times New Roman" w:cs="Times New Roman"/>
          <w:sz w:val="28"/>
          <w:szCs w:val="28"/>
        </w:rPr>
        <w:t xml:space="preserve">, при этом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Правительства Ленинградской области от 18.04.2022 № 243</w:t>
      </w:r>
      <w:r>
        <w:rPr>
          <w:rFonts w:ascii="Times New Roman" w:hAnsi="Times New Roman" w:cs="Times New Roman"/>
          <w:sz w:val="28"/>
          <w:szCs w:val="28"/>
        </w:rPr>
        <w:t xml:space="preserve"> утрачивает силу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III. Изменения федерального законодательства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5"/>
        <w:numPr>
          <w:ilvl w:val="0"/>
          <w:numId w:val="4"/>
        </w:num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проекте федерального закона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1058242-8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«Об организации контрольно-надзорной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деятельности в отношении органов местного самоуправления и должностных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 местного самоуправления и о внесении изменений в Федеральный закон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«Об общих принципах организации местного самоуправления в единой системе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публичной власти»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 исполнение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перечня поручений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Президента Российской Федерации от 4 июня 2023 года № Пр-1111 по итогам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заседания Совета при Президенте Российской Федерации по развитию местного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самоуправления, состоявшегося 20 апреля 2023 года, разработан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роект федерального закона «Об организации контрольно-надзорной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деятельности в отношении органов местного самоуправления и должностных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 местного самоуправления и о внесении изменений в Федеральный закон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«Об общих принципах организации местного самоуправления в единой системе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публичной власти» (далее – законопроект).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Законопроект направлен на совершенствование контрольно-надзорной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деятельности в отношении органов местного самоуправления и должностных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 местного самоуправления с учетом конституционно-правового статуса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указанных органов публичной власти.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настоящее время общие подходы к организации контроля (надзора)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деятельностью органов местного самоуправления и должностных лиц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местного самоуправления установлены статьей 41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года № 33-ФЗ «Об общих принципах организации местного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самоуправления в единой системе публичной власти» (далее – Федеральный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 № 33-ФЗ).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Законопроектом предусматривается, что при сохранении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действующих подходов, включая координирующую роль органов прокуратуры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организации и проведении контрольных (надзорных) мероприятий,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предлагается закрепить механизмы, предусматривающие применение риск-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ориентированного подхода, проведение профилактических мероприятий,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частности, профилактических визитов, использование механизмов продления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сроков исполнения предписаний об устранении нарушений требований,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установленных федеральным законодательством, и процедуры досудебного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обжалования при осуществлении 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деятельностью органов местного самоуправления.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Кроме того, в законопроект включены положения, предусматривающие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обязательность учета контрольно-надзорными органами особенностей,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связанных с формированием местных бюджетов и процедурой муниципальных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закупок, при выдаче предписаний об устранении нарушений, выявленных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осуществлении государственного контроля (надзора) за деятельностью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органов местного самоуправления.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Законопроектом предусмотрено расширение функционала единого реестра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проверок, а также предусматривается право, а не обязанность дополнительного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использования в рамках контрольно-надзорной деятельности информационных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 контрольных (надзорных) органов.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Особый порядок вступления Федерального закона в силу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(с 1 января 2027 года) обусловлен содержащимися в нем принципиально иными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подходами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контрольно-надзорной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отношении органов местного самоуправления и должностных лиц местного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самоуправления и необходимостью подготовки в связи с этим значительного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объема правовых актов на федеральном и региональном уровнях, имея в виду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прежде всего подготовку контрольными (надзорными) органами основ для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внедрения системы риск-ориентированного подхода к контрольно-надзорной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деятельности в отношении публично-правовых образований.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Федеральные законы, законы субъектов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принятые в соответствии с ними нормативные правовые акты,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устанавливающие иной порядок организации и проведения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деятельностью органов местного самоуправления и должностных лиц органов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местного самоуправления, государственного контроля за осуществлением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органами местного самоуправления отдельных государственных полномочий,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должны быть приведены в соответствие с предусматриваемым Федеральным законом регулированием в срок не позднее 1 сентября 2027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этом предусматривается осуществление контроля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(надзора) в отношении органов местного самоуправления и должностных лиц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 31 декабря 2027 года в соответствии с действующими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момент вступления в силу законопроекта правовыми актами.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настоящее время законопроект принят в первом чтении, готовится внесение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его на рассмотрение Государственной Думы во втором чтении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Текст законопроекта прилагается.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Минстроем России подготовлены проекты приказов: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Об установлении состава сведений, содержащихся в реестре уведомлений 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планируемом строительстве объектов индивидуального жилищного 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строительства и в реестре уведомлений об окончании строительства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индивидуального жилищного строительства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Об утверждении формы выписки из реестра уведомлений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планируемом строительстве объектов индивидуального жилищного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строительства и формы выписки из реестра уведомлений об окончании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строительства объектов индивидуального жилищного строительства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Проекты приказов прилагаются.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1"/>
    <w:next w:val="87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1"/>
    <w:next w:val="87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No Spacing"/>
    <w:basedOn w:val="871"/>
    <w:uiPriority w:val="1"/>
    <w:qFormat/>
    <w:pPr>
      <w:spacing w:after="0" w:line="240" w:lineRule="auto"/>
    </w:pPr>
  </w:style>
  <w:style w:type="paragraph" w:styleId="875">
    <w:name w:val="List Paragraph"/>
    <w:basedOn w:val="871"/>
    <w:uiPriority w:val="34"/>
    <w:qFormat/>
    <w:pPr>
      <w:contextualSpacing/>
      <w:ind w:left="720"/>
    </w:pPr>
  </w:style>
  <w:style w:type="character" w:styleId="87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login.consultant.ru/link/?req=doc&amp;base=SPB&amp;n=215384" TargetMode="External"/><Relationship Id="rId13" Type="http://schemas.openxmlformats.org/officeDocument/2006/relationships/hyperlink" Target="https://login.consultant.ru/link/?req=doc&amp;base=SPB&amp;n=21538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aa_shahmatov</cp:lastModifiedBy>
  <cp:revision>9</cp:revision>
  <dcterms:modified xsi:type="dcterms:W3CDTF">2026-01-30T07:48:08Z</dcterms:modified>
</cp:coreProperties>
</file>