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2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СООБЩЕНИЕ</w:t>
      </w:r>
      <w:r>
        <w:rPr>
          <w:b/>
          <w:sz w:val="26"/>
          <w:szCs w:val="26"/>
        </w:rPr>
      </w:r>
    </w:p>
    <w:p>
      <w:pPr>
        <w:pStyle w:val="65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принятии решения </w:t>
      </w:r>
      <w:r>
        <w:rPr>
          <w:rFonts w:ascii="Times New Roman" w:hAnsi="Times New Roman" w:cs="Times New Roman"/>
          <w:sz w:val="26"/>
          <w:szCs w:val="26"/>
        </w:rPr>
        <w:t xml:space="preserve">о</w:t>
      </w:r>
      <w:r>
        <w:rPr>
          <w:rFonts w:ascii="Times New Roman" w:hAnsi="Times New Roman" w:cs="Times New Roman"/>
          <w:sz w:val="26"/>
          <w:szCs w:val="26"/>
        </w:rPr>
        <w:t xml:space="preserve"> подготовке проекта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5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Правила землепользования и застройки муниципального образования Оредежского сельского поселения Лужского муниципального района Ленинградской области применительно к части территории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42"/>
        <w:jc w:val="left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</w:p>
    <w:p>
      <w:pPr>
        <w:pStyle w:val="653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р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аспоряжением Комитета градостроительной политики Ленинградской области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от 07 ноября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2025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№ 342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принято решение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подготовке проекта о внесении изменений в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Правила землепользования и застройки муниципального образования Оредежского сельского поселения Лужского муниципального района Ленинградской области применительно к части территории</w:t>
      </w:r>
      <w:r>
        <w:rPr>
          <w:rFonts w:ascii="Times New Roman" w:hAnsi="Times New Roman" w:cs="Times New Roman"/>
          <w:b w:val="0"/>
          <w:bCs/>
          <w:sz w:val="28"/>
          <w:szCs w:val="28"/>
        </w:rPr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в части изменения градостроительного регламента территориальной зоны Ж1 «Зона застройки индивидуальными жилыми домами»</w:t>
      </w:r>
      <w:r>
        <w:rPr>
          <w:rFonts w:ascii="Times New Roman" w:hAnsi="Times New Roman" w:cs="Times New Roman"/>
          <w:b w:val="0"/>
          <w:bCs/>
          <w:sz w:val="28"/>
          <w:szCs w:val="28"/>
        </w:rPr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(далее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- Проект)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bCs/>
          <w:sz w:val="28"/>
          <w:szCs w:val="28"/>
        </w:rPr>
      </w:r>
    </w:p>
    <w:p>
      <w:pPr>
        <w:pStyle w:val="653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 Комитета градостроительной политики Ленинградской области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bCs/>
          <w:sz w:val="28"/>
          <w:szCs w:val="28"/>
        </w:rPr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07 ноября 2025 года № 342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07 ноября 2025 года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интернет-портале Админист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рации Ленинградской области в информационно-телекоммуникационной сети «Интернет» по адресу: https://arch.lenobl.ru/ru/dokumenty/dokument-gradostroitelnogo-zonirovaniya/rasporyazheniya/o-podgotovke-proekta-pravil-zemlepolzovaniya-i-zastrojki-municipalnogo/.</w:t>
      </w:r>
      <w:r>
        <w:rPr>
          <w:rFonts w:ascii="Times New Roman" w:hAnsi="Times New Roman" w:cs="Times New Roman"/>
          <w:b w:val="0"/>
          <w:bCs/>
          <w:sz w:val="28"/>
          <w:szCs w:val="28"/>
        </w:rPr>
      </w:r>
    </w:p>
    <w:p>
      <w:pPr>
        <w:pStyle w:val="642"/>
        <w:numPr>
          <w:ilvl w:val="0"/>
          <w:numId w:val="10"/>
        </w:numPr>
        <w:ind w:left="0" w:firstLine="567"/>
        <w:jc w:val="both"/>
        <w:tabs>
          <w:tab w:val="left" w:pos="851" w:leader="none"/>
        </w:tabs>
        <w:rPr>
          <w:bCs/>
          <w:szCs w:val="28"/>
        </w:rPr>
      </w:pPr>
      <w:r>
        <w:rPr>
          <w:bCs/>
          <w:szCs w:val="28"/>
        </w:rPr>
        <w:t xml:space="preserve">Состав и порядок деятельности </w:t>
      </w:r>
      <w:r>
        <w:rPr>
          <w:bCs/>
          <w:szCs w:val="28"/>
        </w:rPr>
        <w:t xml:space="preserve">комиссии по </w:t>
      </w:r>
      <w:r>
        <w:rPr>
          <w:bCs/>
          <w:szCs w:val="28"/>
        </w:rPr>
        <w:t xml:space="preserve">землепользованию и застройке</w:t>
      </w:r>
      <w:r>
        <w:rPr>
          <w:bCs/>
          <w:szCs w:val="28"/>
        </w:rPr>
        <w:t xml:space="preserve"> Луж</w:t>
      </w:r>
      <w:r>
        <w:rPr>
          <w:bCs/>
          <w:szCs w:val="28"/>
        </w:rPr>
        <w:t xml:space="preserve">ского </w:t>
      </w:r>
      <w:r>
        <w:rPr>
          <w:bCs/>
          <w:szCs w:val="28"/>
        </w:rPr>
        <w:t xml:space="preserve">муниципальн</w:t>
      </w:r>
      <w:r>
        <w:rPr>
          <w:bCs/>
          <w:szCs w:val="28"/>
        </w:rPr>
        <w:t xml:space="preserve">ого</w:t>
      </w:r>
      <w:r>
        <w:rPr>
          <w:bCs/>
          <w:szCs w:val="28"/>
        </w:rPr>
        <w:t xml:space="preserve"> </w:t>
      </w:r>
      <w:r>
        <w:rPr>
          <w:bCs/>
          <w:szCs w:val="28"/>
        </w:rPr>
        <w:t xml:space="preserve">района </w:t>
      </w:r>
      <w:r>
        <w:rPr>
          <w:bCs/>
          <w:szCs w:val="28"/>
        </w:rPr>
        <w:t xml:space="preserve">Ленинградской области</w:t>
      </w:r>
      <w:r>
        <w:rPr>
          <w:bCs/>
          <w:szCs w:val="28"/>
        </w:rPr>
        <w:t xml:space="preserve"> (далее </w:t>
      </w:r>
      <w:r>
        <w:rPr>
          <w:bCs/>
          <w:szCs w:val="28"/>
        </w:rPr>
        <w:t xml:space="preserve">-</w:t>
      </w:r>
      <w:r>
        <w:rPr>
          <w:bCs/>
          <w:szCs w:val="28"/>
        </w:rPr>
        <w:t xml:space="preserve"> К</w:t>
      </w:r>
      <w:r>
        <w:rPr>
          <w:bCs/>
          <w:szCs w:val="28"/>
        </w:rPr>
        <w:t xml:space="preserve">омиссия)</w:t>
      </w:r>
      <w:r>
        <w:rPr>
          <w:bCs/>
          <w:szCs w:val="28"/>
        </w:rPr>
        <w:t xml:space="preserve"> утвержден</w:t>
      </w:r>
      <w:r>
        <w:rPr>
          <w:bCs/>
          <w:szCs w:val="28"/>
        </w:rPr>
        <w:t xml:space="preserve">ы</w:t>
      </w:r>
      <w:r>
        <w:rPr>
          <w:bCs/>
          <w:szCs w:val="28"/>
        </w:rPr>
        <w:t xml:space="preserve"> </w:t>
      </w:r>
      <w:r>
        <w:rPr>
          <w:bCs/>
          <w:szCs w:val="28"/>
        </w:rPr>
        <w:t xml:space="preserve">постановлением администрации Луж</w:t>
      </w:r>
      <w:r>
        <w:rPr>
          <w:bCs/>
          <w:szCs w:val="28"/>
        </w:rPr>
        <w:t xml:space="preserve">ского</w:t>
      </w:r>
      <w:r>
        <w:rPr>
          <w:bCs/>
          <w:szCs w:val="28"/>
        </w:rPr>
        <w:t xml:space="preserve"> </w:t>
      </w:r>
      <w:r>
        <w:rPr>
          <w:bCs/>
          <w:szCs w:val="28"/>
        </w:rPr>
        <w:t xml:space="preserve">муниципальн</w:t>
      </w:r>
      <w:r>
        <w:rPr>
          <w:bCs/>
          <w:szCs w:val="28"/>
        </w:rPr>
        <w:t xml:space="preserve">ого</w:t>
      </w:r>
      <w:r>
        <w:rPr>
          <w:bCs/>
          <w:szCs w:val="28"/>
        </w:rPr>
        <w:t xml:space="preserve"> район</w:t>
      </w:r>
      <w:r>
        <w:rPr>
          <w:bCs/>
          <w:szCs w:val="28"/>
        </w:rPr>
        <w:t xml:space="preserve">а</w:t>
      </w:r>
      <w:r>
        <w:rPr>
          <w:bCs/>
          <w:szCs w:val="28"/>
        </w:rPr>
        <w:t xml:space="preserve"> Ленинградской области от </w:t>
      </w:r>
      <w:r>
        <w:rPr>
          <w:bCs/>
          <w:szCs w:val="28"/>
        </w:rPr>
        <w:t xml:space="preserve">24 июля 2020</w:t>
      </w:r>
      <w:r>
        <w:rPr>
          <w:bCs/>
          <w:szCs w:val="28"/>
        </w:rPr>
        <w:t xml:space="preserve"> </w:t>
      </w:r>
      <w:r>
        <w:rPr>
          <w:bCs/>
          <w:szCs w:val="28"/>
        </w:rPr>
        <w:t xml:space="preserve">года </w:t>
      </w:r>
      <w:r>
        <w:rPr>
          <w:bCs/>
          <w:szCs w:val="28"/>
        </w:rPr>
        <w:t xml:space="preserve">№ </w:t>
      </w:r>
      <w:r>
        <w:rPr>
          <w:bCs/>
          <w:szCs w:val="28"/>
        </w:rPr>
        <w:t xml:space="preserve">2350 (с изменениями)</w:t>
      </w:r>
      <w:r>
        <w:rPr>
          <w:bCs/>
          <w:szCs w:val="28"/>
        </w:rPr>
        <w:t xml:space="preserve">,</w:t>
      </w:r>
      <w:r>
        <w:rPr>
          <w:bCs/>
          <w:szCs w:val="28"/>
        </w:rPr>
        <w:t xml:space="preserve"> </w:t>
      </w:r>
      <w:r>
        <w:rPr>
          <w:bCs/>
          <w:szCs w:val="28"/>
        </w:rPr>
        <w:t xml:space="preserve">которое </w:t>
      </w:r>
      <w:r>
        <w:rPr>
          <w:bCs/>
          <w:szCs w:val="28"/>
        </w:rPr>
        <w:t xml:space="preserve">размещен</w:t>
      </w:r>
      <w:r>
        <w:rPr>
          <w:bCs/>
          <w:szCs w:val="28"/>
        </w:rPr>
        <w:t xml:space="preserve">о</w:t>
      </w:r>
      <w:r>
        <w:rPr>
          <w:bCs/>
          <w:szCs w:val="28"/>
        </w:rPr>
        <w:t xml:space="preserve"> </w:t>
      </w:r>
      <w:r>
        <w:rPr>
          <w:bCs/>
          <w:szCs w:val="28"/>
        </w:rPr>
        <w:t xml:space="preserve">в </w:t>
      </w:r>
      <w:r>
        <w:rPr>
          <w:bCs/>
          <w:szCs w:val="28"/>
        </w:rPr>
        <w:t xml:space="preserve">информационно-телекоммуникационной </w:t>
      </w:r>
      <w:r>
        <w:rPr>
          <w:bCs/>
          <w:szCs w:val="28"/>
        </w:rPr>
        <w:t xml:space="preserve">сети «Интернет» </w:t>
      </w:r>
      <w:r>
        <w:rPr>
          <w:bCs/>
          <w:szCs w:val="28"/>
        </w:rPr>
        <w:t xml:space="preserve">на официальном сайте </w:t>
      </w:r>
      <w:r>
        <w:rPr>
          <w:bCs/>
          <w:szCs w:val="28"/>
        </w:rPr>
        <w:t xml:space="preserve">муниципального образования Луж</w:t>
      </w:r>
      <w:r>
        <w:rPr>
          <w:bCs/>
          <w:szCs w:val="28"/>
        </w:rPr>
        <w:t xml:space="preserve">ский </w:t>
      </w:r>
      <w:r>
        <w:rPr>
          <w:bCs/>
          <w:szCs w:val="28"/>
        </w:rPr>
        <w:t xml:space="preserve">муниципальн</w:t>
      </w:r>
      <w:r>
        <w:rPr>
          <w:bCs/>
          <w:szCs w:val="28"/>
        </w:rPr>
        <w:t xml:space="preserve">ый</w:t>
      </w:r>
      <w:r>
        <w:rPr>
          <w:bCs/>
          <w:szCs w:val="28"/>
        </w:rPr>
        <w:t xml:space="preserve"> район</w:t>
      </w:r>
      <w:r>
        <w:rPr>
          <w:bCs/>
          <w:szCs w:val="28"/>
        </w:rPr>
        <w:t xml:space="preserve"> </w:t>
      </w:r>
      <w:r>
        <w:rPr>
          <w:bCs/>
          <w:szCs w:val="28"/>
        </w:rPr>
        <w:t xml:space="preserve">Ленинградской области</w:t>
      </w:r>
      <w:r>
        <w:rPr>
          <w:bCs/>
          <w:szCs w:val="28"/>
        </w:rPr>
        <w:t xml:space="preserve"> по адресу:</w:t>
      </w:r>
      <w:r>
        <w:rPr>
          <w:bCs/>
          <w:szCs w:val="28"/>
        </w:rPr>
        <w:t xml:space="preserve"> </w:t>
      </w:r>
      <w:r>
        <w:rPr>
          <w:bCs/>
          <w:szCs w:val="28"/>
        </w:rPr>
        <w:t xml:space="preserve">https://luga47.gosuslugi.ru/</w:t>
      </w:r>
      <w:r>
        <w:rPr>
          <w:bCs/>
          <w:szCs w:val="28"/>
        </w:rPr>
      </w:r>
      <w:r>
        <w:rPr>
          <w:bCs/>
          <w:szCs w:val="28"/>
        </w:rPr>
        <w:t xml:space="preserve">.</w:t>
      </w:r>
      <w:r>
        <w:rPr>
          <w:bCs/>
          <w:szCs w:val="28"/>
        </w:rPr>
      </w:r>
    </w:p>
    <w:p>
      <w:pPr>
        <w:pStyle w:val="642"/>
        <w:numPr>
          <w:ilvl w:val="0"/>
          <w:numId w:val="10"/>
        </w:numPr>
        <w:ind w:left="0" w:firstLine="567"/>
        <w:jc w:val="both"/>
        <w:tabs>
          <w:tab w:val="left" w:pos="851" w:leader="none"/>
        </w:tabs>
        <w:rPr>
          <w:bCs/>
          <w:szCs w:val="28"/>
        </w:rPr>
      </w:pPr>
      <w:r>
        <w:rPr>
          <w:bCs/>
          <w:szCs w:val="28"/>
        </w:rPr>
        <w:t xml:space="preserve">Последовательность градостроительн</w:t>
      </w:r>
      <w:r>
        <w:rPr>
          <w:bCs/>
          <w:szCs w:val="28"/>
        </w:rPr>
        <w:t xml:space="preserve">ого зонирования применительно к </w:t>
      </w:r>
      <w:r>
        <w:rPr>
          <w:bCs/>
          <w:szCs w:val="28"/>
        </w:rPr>
        <w:t xml:space="preserve">территории </w:t>
      </w:r>
      <w:r>
        <w:rPr>
          <w:bCs/>
          <w:szCs w:val="28"/>
        </w:rPr>
        <w:t xml:space="preserve">муниципального образования </w:t>
      </w:r>
      <w:r>
        <w:rPr>
          <w:bCs/>
          <w:szCs w:val="28"/>
        </w:rPr>
        <w:t xml:space="preserve">Оредежск</w:t>
      </w:r>
      <w:r>
        <w:rPr>
          <w:bCs/>
          <w:szCs w:val="28"/>
        </w:rPr>
        <w:t xml:space="preserve">ое</w:t>
      </w:r>
      <w:r>
        <w:rPr>
          <w:bCs/>
          <w:szCs w:val="28"/>
        </w:rPr>
        <w:t xml:space="preserve"> сельское поселение Лужского </w:t>
      </w:r>
      <w:r>
        <w:rPr>
          <w:bCs/>
          <w:szCs w:val="28"/>
        </w:rPr>
        <w:t xml:space="preserve">муниципального </w:t>
      </w:r>
      <w:r>
        <w:rPr>
          <w:bCs/>
          <w:szCs w:val="28"/>
        </w:rPr>
        <w:t xml:space="preserve">района </w:t>
      </w:r>
      <w:r>
        <w:rPr>
          <w:bCs/>
          <w:szCs w:val="28"/>
        </w:rPr>
        <w:t xml:space="preserve">Ленинградской области</w:t>
      </w:r>
      <w:r>
        <w:rPr>
          <w:bCs/>
          <w:szCs w:val="28"/>
        </w:rPr>
        <w:t xml:space="preserve"> </w:t>
      </w:r>
      <w:r>
        <w:rPr>
          <w:bCs/>
          <w:szCs w:val="28"/>
        </w:rPr>
        <w:t xml:space="preserve">установлена</w:t>
      </w:r>
      <w:r>
        <w:rPr>
          <w:bCs/>
          <w:szCs w:val="28"/>
        </w:rPr>
        <w:t xml:space="preserve"> в один</w:t>
      </w:r>
      <w:r>
        <w:rPr>
          <w:bCs/>
          <w:szCs w:val="28"/>
        </w:rPr>
        <w:t xml:space="preserve"> этап.</w:t>
      </w:r>
      <w:r>
        <w:rPr>
          <w:bCs/>
          <w:szCs w:val="28"/>
        </w:rPr>
      </w:r>
    </w:p>
    <w:p>
      <w:pPr>
        <w:pStyle w:val="642"/>
        <w:numPr>
          <w:ilvl w:val="0"/>
          <w:numId w:val="10"/>
        </w:numPr>
        <w:ind w:left="0" w:firstLine="570"/>
        <w:jc w:val="both"/>
        <w:tabs>
          <w:tab w:val="left" w:pos="851" w:leader="none"/>
        </w:tabs>
        <w:rPr>
          <w:bCs/>
          <w:szCs w:val="28"/>
        </w:rPr>
      </w:pPr>
      <w:r>
        <w:rPr>
          <w:bCs/>
          <w:szCs w:val="28"/>
        </w:rPr>
        <w:t xml:space="preserve">Порядок и сроки проведения работ по подготовке Проекта определены распоряжением </w:t>
      </w:r>
      <w:r>
        <w:rPr>
          <w:bCs/>
          <w:szCs w:val="28"/>
        </w:rPr>
        <w:t xml:space="preserve">Комитета градостроительной политики Ленинградской области </w:t>
      </w:r>
      <w:r>
        <w:rPr>
          <w:bCs/>
          <w:szCs w:val="28"/>
        </w:rPr>
        <w:t xml:space="preserve">от </w:t>
      </w:r>
      <w:r>
        <w:rPr>
          <w:bCs/>
          <w:szCs w:val="28"/>
        </w:rPr>
      </w:r>
      <w:r>
        <w:rPr>
          <w:bCs/>
          <w:szCs w:val="28"/>
        </w:rPr>
      </w:r>
      <w:r>
        <w:rPr>
          <w:bCs/>
          <w:szCs w:val="28"/>
        </w:rPr>
        <w:t xml:space="preserve">07 ноября 2025 года № 342</w:t>
      </w:r>
      <w:r>
        <w:rPr>
          <w:bCs/>
          <w:szCs w:val="28"/>
        </w:rPr>
      </w:r>
      <w:r>
        <w:rPr>
          <w:bCs/>
          <w:szCs w:val="28"/>
        </w:rPr>
        <w:t xml:space="preserve">.</w:t>
      </w:r>
      <w:r>
        <w:rPr>
          <w:bCs/>
          <w:szCs w:val="28"/>
        </w:rPr>
      </w:r>
    </w:p>
    <w:p>
      <w:pPr>
        <w:pStyle w:val="642"/>
        <w:numPr>
          <w:ilvl w:val="0"/>
          <w:numId w:val="10"/>
        </w:numPr>
        <w:ind w:left="0" w:firstLine="567"/>
        <w:jc w:val="both"/>
        <w:tabs>
          <w:tab w:val="left" w:pos="851" w:leader="none"/>
        </w:tabs>
        <w:rPr>
          <w:bCs/>
          <w:szCs w:val="28"/>
        </w:rPr>
      </w:pPr>
      <w:r>
        <w:rPr>
          <w:bCs/>
          <w:szCs w:val="28"/>
        </w:rPr>
        <w:t xml:space="preserve">Порядок направления в Комиссию предложений о внесении изменений в правила землепользования и застройки утвержден постановлением администрации Луж</w:t>
      </w:r>
      <w:r>
        <w:rPr>
          <w:bCs/>
          <w:szCs w:val="28"/>
        </w:rPr>
        <w:t xml:space="preserve">ского</w:t>
      </w:r>
      <w:r>
        <w:rPr>
          <w:bCs/>
          <w:szCs w:val="28"/>
        </w:rPr>
        <w:t xml:space="preserve"> муниципальн</w:t>
      </w:r>
      <w:r>
        <w:rPr>
          <w:bCs/>
          <w:szCs w:val="28"/>
        </w:rPr>
        <w:t xml:space="preserve">ого</w:t>
      </w:r>
      <w:r>
        <w:rPr>
          <w:bCs/>
          <w:szCs w:val="28"/>
        </w:rPr>
        <w:t xml:space="preserve"> район</w:t>
      </w:r>
      <w:r>
        <w:rPr>
          <w:bCs/>
          <w:szCs w:val="28"/>
        </w:rPr>
        <w:t xml:space="preserve">а</w:t>
      </w:r>
      <w:r>
        <w:rPr>
          <w:bCs/>
          <w:szCs w:val="28"/>
        </w:rPr>
        <w:t xml:space="preserve"> Ленинградской области от 30 апреля 2025</w:t>
      </w:r>
      <w:r>
        <w:rPr>
          <w:bCs/>
          <w:szCs w:val="28"/>
        </w:rPr>
      </w:r>
      <w:r>
        <w:rPr>
          <w:bCs/>
          <w:szCs w:val="28"/>
        </w:rPr>
        <w:t xml:space="preserve"> года № 1375</w:t>
      </w:r>
      <w:r>
        <w:rPr>
          <w:bCs/>
          <w:szCs w:val="28"/>
        </w:rPr>
        <w:t xml:space="preserve">, которое размещено в информационно-телекоммуникационной сети «Интернет» на официальном сайте муниципального образования </w:t>
      </w:r>
      <w:r>
        <w:rPr>
          <w:bCs/>
          <w:szCs w:val="28"/>
        </w:rPr>
        <w:t xml:space="preserve">Всеволожский </w:t>
      </w:r>
      <w:r>
        <w:rPr>
          <w:bCs/>
          <w:szCs w:val="28"/>
        </w:rPr>
        <w:t xml:space="preserve">муниципальный район Ленинградской области по адресу: </w:t>
      </w:r>
      <w:r>
        <w:rPr>
          <w:bCs/>
          <w:szCs w:val="28"/>
        </w:rPr>
      </w:r>
      <w:r>
        <w:rPr>
          <w:bCs/>
          <w:szCs w:val="28"/>
        </w:rPr>
        <w:t xml:space="preserve">https://luga47.gosuslugi.ru/.</w:t>
      </w:r>
      <w:r>
        <w:rPr>
          <w:bCs/>
          <w:szCs w:val="28"/>
        </w:rPr>
      </w:r>
      <w:r>
        <w:rPr>
          <w:bCs/>
          <w:szCs w:val="28"/>
        </w:rPr>
      </w:r>
    </w:p>
    <w:p>
      <w:pPr>
        <w:pStyle w:val="642"/>
        <w:ind w:firstLine="567"/>
        <w:jc w:val="both"/>
        <w:tabs>
          <w:tab w:val="left" w:pos="851" w:leader="none"/>
        </w:tabs>
        <w:rPr>
          <w:bCs/>
          <w:szCs w:val="28"/>
        </w:rPr>
      </w:pPr>
      <w:r>
        <w:rPr>
          <w:bCs/>
          <w:szCs w:val="28"/>
        </w:rPr>
        <w:t xml:space="preserve">Предложения заинтересованных лиц по под</w:t>
      </w:r>
      <w:r>
        <w:rPr>
          <w:bCs/>
          <w:szCs w:val="28"/>
        </w:rPr>
        <w:t xml:space="preserve">готовке Проекта направляются в К</w:t>
      </w:r>
      <w:r>
        <w:rPr>
          <w:bCs/>
          <w:szCs w:val="28"/>
        </w:rPr>
        <w:t xml:space="preserve">омиссию </w:t>
      </w:r>
      <w:r>
        <w:rPr>
          <w:bCs/>
          <w:szCs w:val="28"/>
        </w:rPr>
        <w:t xml:space="preserve">в срок </w:t>
      </w:r>
      <w:r>
        <w:rPr>
          <w:bCs/>
          <w:szCs w:val="28"/>
        </w:rPr>
        <w:t xml:space="preserve">до </w:t>
      </w:r>
      <w:r>
        <w:rPr>
          <w:bCs/>
          <w:szCs w:val="28"/>
        </w:rPr>
        <w:t xml:space="preserve">08 декабря 2025 </w:t>
      </w:r>
      <w:r>
        <w:rPr>
          <w:bCs/>
          <w:szCs w:val="28"/>
        </w:rPr>
        <w:t xml:space="preserve">года</w:t>
      </w:r>
      <w:r>
        <w:rPr>
          <w:bCs/>
          <w:szCs w:val="28"/>
        </w:rPr>
        <w:t xml:space="preserve">.</w:t>
      </w:r>
      <w:r>
        <w:rPr>
          <w:bCs/>
          <w:szCs w:val="28"/>
        </w:rPr>
        <w:t xml:space="preserve"> </w:t>
      </w:r>
      <w:r>
        <w:rPr>
          <w:bCs/>
          <w:szCs w:val="28"/>
        </w:rPr>
      </w:r>
    </w:p>
    <w:sectPr>
      <w:footnotePr/>
      <w:endnotePr/>
      <w:type w:val="nextPage"/>
      <w:pgSz w:w="11907" w:h="16840" w:orient="portrait"/>
      <w:pgMar w:top="567" w:right="708" w:bottom="709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Lucida Sans Unicode">
    <w:panose1 w:val="020B0603030804020204"/>
  </w:font>
  <w:font w:name="Mangal">
    <w:panose1 w:val="02040503050406030204"/>
  </w:font>
  <w:font w:name="Tahoma">
    <w:panose1 w:val="020B060403050404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isLgl w:val="false"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suff w:val="tab"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suff w:val="tab"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suff w:val="tab"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suff w:val="tab"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suff w:val="tab"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suff w:val="tab"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9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ind w:left="107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4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9"/>
  </w:num>
  <w:num w:numId="7">
    <w:abstractNumId w:val="1"/>
  </w:num>
  <w:num w:numId="8">
    <w:abstractNumId w:val="4"/>
  </w:num>
  <w:num w:numId="9">
    <w:abstractNumId w:val="2"/>
  </w:num>
  <w:num w:numId="10">
    <w:abstractNumId w:val="8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39"/>
    <w:link w:val="638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7"/>
    <w:next w:val="63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3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7"/>
    <w:next w:val="63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3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7"/>
    <w:next w:val="63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3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7"/>
    <w:next w:val="63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7"/>
    <w:next w:val="63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7"/>
    <w:next w:val="63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7"/>
    <w:next w:val="63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7"/>
    <w:next w:val="63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39"/>
    <w:link w:val="642"/>
    <w:uiPriority w:val="10"/>
    <w:rPr>
      <w:sz w:val="48"/>
      <w:szCs w:val="48"/>
    </w:rPr>
  </w:style>
  <w:style w:type="paragraph" w:styleId="36">
    <w:name w:val="Subtitle"/>
    <w:basedOn w:val="637"/>
    <w:next w:val="63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39"/>
    <w:link w:val="36"/>
    <w:uiPriority w:val="11"/>
    <w:rPr>
      <w:sz w:val="24"/>
      <w:szCs w:val="24"/>
    </w:rPr>
  </w:style>
  <w:style w:type="paragraph" w:styleId="38">
    <w:name w:val="Quote"/>
    <w:basedOn w:val="637"/>
    <w:next w:val="63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7"/>
    <w:next w:val="63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9"/>
    <w:link w:val="42"/>
    <w:uiPriority w:val="99"/>
  </w:style>
  <w:style w:type="paragraph" w:styleId="44">
    <w:name w:val="Footer"/>
    <w:basedOn w:val="63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9"/>
    <w:link w:val="44"/>
    <w:uiPriority w:val="99"/>
  </w:style>
  <w:style w:type="paragraph" w:styleId="46">
    <w:name w:val="Caption"/>
    <w:basedOn w:val="637"/>
    <w:next w:val="63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39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4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3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9"/>
    <w:uiPriority w:val="99"/>
    <w:unhideWhenUsed/>
    <w:rPr>
      <w:vertAlign w:val="superscript"/>
    </w:rPr>
  </w:style>
  <w:style w:type="paragraph" w:styleId="178">
    <w:name w:val="endnote text"/>
    <w:basedOn w:val="63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9"/>
    <w:uiPriority w:val="99"/>
    <w:semiHidden/>
    <w:unhideWhenUsed/>
    <w:rPr>
      <w:vertAlign w:val="superscript"/>
    </w:rPr>
  </w:style>
  <w:style w:type="paragraph" w:styleId="181">
    <w:name w:val="toc 1"/>
    <w:basedOn w:val="637"/>
    <w:next w:val="63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7"/>
    <w:next w:val="63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7"/>
    <w:next w:val="63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7"/>
    <w:next w:val="63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7"/>
    <w:next w:val="63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7"/>
    <w:next w:val="63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7"/>
    <w:next w:val="63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7"/>
    <w:next w:val="63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7"/>
    <w:next w:val="63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7"/>
    <w:next w:val="637"/>
    <w:uiPriority w:val="99"/>
    <w:unhideWhenUsed/>
    <w:pPr>
      <w:spacing w:after="0" w:afterAutospacing="0"/>
    </w:pPr>
  </w:style>
  <w:style w:type="paragraph" w:styleId="637" w:default="1">
    <w:name w:val="Normal"/>
    <w:qFormat/>
  </w:style>
  <w:style w:type="paragraph" w:styleId="638">
    <w:name w:val="Heading 1"/>
    <w:basedOn w:val="637"/>
    <w:next w:val="637"/>
    <w:qFormat/>
    <w:pPr>
      <w:keepNext/>
      <w:outlineLvl w:val="0"/>
    </w:pPr>
    <w:rPr>
      <w:sz w:val="24"/>
    </w:rPr>
  </w:style>
  <w:style w:type="character" w:styleId="639" w:default="1">
    <w:name w:val="Default Paragraph Font"/>
    <w:uiPriority w:val="1"/>
    <w:semiHidden/>
    <w:unhideWhenUsed/>
  </w:style>
  <w:style w:type="table" w:styleId="6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1" w:default="1">
    <w:name w:val="No List"/>
    <w:uiPriority w:val="99"/>
    <w:semiHidden/>
    <w:unhideWhenUsed/>
  </w:style>
  <w:style w:type="paragraph" w:styleId="642">
    <w:name w:val="Title"/>
    <w:basedOn w:val="637"/>
    <w:link w:val="643"/>
    <w:qFormat/>
    <w:pPr>
      <w:jc w:val="center"/>
    </w:pPr>
    <w:rPr>
      <w:sz w:val="28"/>
      <w:szCs w:val="24"/>
    </w:rPr>
  </w:style>
  <w:style w:type="character" w:styleId="643" w:customStyle="1">
    <w:name w:val="Название Знак"/>
    <w:basedOn w:val="639"/>
    <w:link w:val="642"/>
    <w:rPr>
      <w:sz w:val="28"/>
      <w:szCs w:val="24"/>
    </w:rPr>
  </w:style>
  <w:style w:type="paragraph" w:styleId="644">
    <w:name w:val="Balloon Text"/>
    <w:basedOn w:val="637"/>
    <w:link w:val="645"/>
    <w:rPr>
      <w:rFonts w:ascii="Tahoma" w:hAnsi="Tahoma" w:cs="Tahoma"/>
      <w:sz w:val="16"/>
      <w:szCs w:val="16"/>
    </w:rPr>
  </w:style>
  <w:style w:type="character" w:styleId="645" w:customStyle="1">
    <w:name w:val="Текст выноски Знак"/>
    <w:basedOn w:val="639"/>
    <w:link w:val="644"/>
    <w:rPr>
      <w:rFonts w:ascii="Tahoma" w:hAnsi="Tahoma" w:cs="Tahoma"/>
      <w:sz w:val="16"/>
      <w:szCs w:val="16"/>
    </w:rPr>
  </w:style>
  <w:style w:type="character" w:styleId="646">
    <w:name w:val="Hyperlink"/>
    <w:basedOn w:val="639"/>
    <w:rPr>
      <w:color w:val="0000ff"/>
      <w:u w:val="single"/>
    </w:rPr>
  </w:style>
  <w:style w:type="paragraph" w:styleId="647" w:customStyle="1">
    <w:name w:val="ConsPlusNormal"/>
    <w:link w:val="648"/>
    <w:pPr>
      <w:ind w:firstLine="720"/>
      <w:widowControl w:val="off"/>
    </w:pPr>
    <w:rPr>
      <w:rFonts w:ascii="Arial" w:hAnsi="Arial" w:cs="Arial"/>
    </w:rPr>
  </w:style>
  <w:style w:type="character" w:styleId="648" w:customStyle="1">
    <w:name w:val="ConsPlusNormal Знак"/>
    <w:basedOn w:val="639"/>
    <w:link w:val="647"/>
    <w:rPr>
      <w:rFonts w:ascii="Arial" w:hAnsi="Arial" w:cs="Arial"/>
      <w:lang w:val="ru-RU" w:eastAsia="ru-RU" w:bidi="ar-SA"/>
    </w:rPr>
  </w:style>
  <w:style w:type="paragraph" w:styleId="649" w:customStyle="1">
    <w:name w:val="Default"/>
    <w:rPr>
      <w:color w:val="000000"/>
      <w:sz w:val="24"/>
      <w:szCs w:val="24"/>
    </w:rPr>
  </w:style>
  <w:style w:type="paragraph" w:styleId="650">
    <w:name w:val="List Paragraph"/>
    <w:basedOn w:val="637"/>
    <w:uiPriority w:val="34"/>
    <w:qFormat/>
    <w:pPr>
      <w:contextualSpacing/>
      <w:ind w:left="720"/>
    </w:pPr>
  </w:style>
  <w:style w:type="paragraph" w:styleId="651">
    <w:name w:val="Body Text"/>
    <w:basedOn w:val="637"/>
    <w:link w:val="652"/>
    <w:pPr>
      <w:ind w:firstLine="567"/>
      <w:jc w:val="both"/>
      <w:widowControl w:val="off"/>
      <w:suppressLineNumbers/>
    </w:pPr>
    <w:rPr>
      <w:rFonts w:eastAsia="Lucida Sans Unicode" w:cs="Mangal"/>
      <w:sz w:val="28"/>
      <w:szCs w:val="24"/>
      <w:lang w:eastAsia="hi-IN" w:bidi="hi-IN"/>
    </w:rPr>
  </w:style>
  <w:style w:type="character" w:styleId="652" w:customStyle="1">
    <w:name w:val="Основной текст Знак"/>
    <w:basedOn w:val="639"/>
    <w:link w:val="651"/>
    <w:rPr>
      <w:rFonts w:eastAsia="Lucida Sans Unicode" w:cs="Mangal"/>
      <w:sz w:val="28"/>
      <w:szCs w:val="24"/>
      <w:lang w:eastAsia="hi-IN" w:bidi="hi-IN"/>
    </w:rPr>
  </w:style>
  <w:style w:type="paragraph" w:styleId="653" w:customStyle="1">
    <w:name w:val="ConsPlusTitle"/>
    <w:pPr>
      <w:widowControl w:val="off"/>
    </w:pPr>
    <w:rPr>
      <w:rFonts w:ascii="Calibri" w:hAnsi="Calibri" w:cs="Calibri"/>
      <w:b/>
      <w:sz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0E0D27-2190-4B52-B5C1-3B34DE009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OEM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ee_alekseeva</cp:lastModifiedBy>
  <cp:revision>10</cp:revision>
  <dcterms:created xsi:type="dcterms:W3CDTF">2022-11-02T15:50:00Z</dcterms:created>
  <dcterms:modified xsi:type="dcterms:W3CDTF">2025-11-12T10:17:39Z</dcterms:modified>
</cp:coreProperties>
</file>