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FA1F4E">
      <w:pPr>
        <w:ind w:firstLine="0"/>
        <w:rPr>
          <w:b/>
        </w:rPr>
      </w:pPr>
    </w:p>
    <w:p w:rsidR="00FA1F4E" w:rsidRDefault="003B2CFF">
      <w:pPr>
        <w:ind w:firstLine="0"/>
        <w:jc w:val="center"/>
        <w:rPr>
          <w:b/>
        </w:rPr>
      </w:pPr>
      <w:r>
        <w:rPr>
          <w:b/>
        </w:rPr>
        <w:t xml:space="preserve">МАТЕРИАЛЫ ПО ОБОСНОВАНИЮ </w:t>
      </w:r>
    </w:p>
    <w:p w:rsidR="00FA1F4E" w:rsidRDefault="003B2CFF">
      <w:pPr>
        <w:ind w:firstLine="0"/>
        <w:jc w:val="center"/>
        <w:rPr>
          <w:b/>
        </w:rPr>
      </w:pPr>
      <w:r>
        <w:rPr>
          <w:b/>
        </w:rPr>
        <w:t xml:space="preserve">ГЕНЕРАЛЬНОГО ПЛАНА </w:t>
      </w:r>
    </w:p>
    <w:p w:rsidR="00FA1F4E" w:rsidRDefault="003B2CFF">
      <w:pPr>
        <w:ind w:firstLine="0"/>
        <w:jc w:val="center"/>
        <w:rPr>
          <w:b/>
        </w:rPr>
      </w:pPr>
      <w:r>
        <w:rPr>
          <w:b/>
        </w:rPr>
        <w:t>ЛОДЕЙНОПОЛЬСКОГО ГОРОДСКОГО ПОСЕЛЕНИЯ</w:t>
      </w:r>
    </w:p>
    <w:p w:rsidR="00FA1F4E" w:rsidRDefault="003B2CFF">
      <w:pPr>
        <w:ind w:firstLine="0"/>
        <w:jc w:val="center"/>
        <w:rPr>
          <w:b/>
        </w:rPr>
      </w:pPr>
      <w:r>
        <w:rPr>
          <w:b/>
        </w:rPr>
        <w:t xml:space="preserve">ЛОДЕЙНОПОЛЬСКОГО МУНИЦИПАЛЬНОГО РАЙОНА </w:t>
      </w:r>
    </w:p>
    <w:p w:rsidR="00FA1F4E" w:rsidRDefault="003B2CFF">
      <w:pPr>
        <w:ind w:firstLine="0"/>
        <w:jc w:val="center"/>
        <w:rPr>
          <w:b/>
        </w:rPr>
      </w:pPr>
      <w:r>
        <w:rPr>
          <w:b/>
        </w:rPr>
        <w:t>ЛЕНИНГРАДСКОЙ ОБЛАСТИ</w:t>
      </w:r>
    </w:p>
    <w:p w:rsidR="00FA1F4E" w:rsidRDefault="003B2CFF">
      <w:pPr>
        <w:ind w:firstLine="0"/>
        <w:jc w:val="center"/>
        <w:rPr>
          <w:b/>
        </w:rPr>
      </w:pPr>
      <w:r>
        <w:rPr>
          <w:b/>
        </w:rPr>
        <w:t xml:space="preserve">ПРИМЕНИТЕЛЬНО К ГОРОДУ ЛОДЕЙНОЕ ПОЛЕ </w:t>
      </w:r>
    </w:p>
    <w:p w:rsidR="00FA1F4E" w:rsidRDefault="003B2CFF">
      <w:pPr>
        <w:ind w:firstLine="0"/>
        <w:jc w:val="center"/>
        <w:rPr>
          <w:b/>
        </w:rPr>
      </w:pPr>
      <w:r>
        <w:rPr>
          <w:b/>
        </w:rPr>
        <w:t>(НОВАЯ РЕДАКЦИЯ)</w:t>
      </w:r>
    </w:p>
    <w:p w:rsidR="00FA1F4E" w:rsidRDefault="003B2CFF">
      <w:pPr>
        <w:ind w:firstLine="0"/>
        <w:jc w:val="center"/>
      </w:pPr>
      <w:r>
        <w:br w:type="page"/>
      </w:r>
    </w:p>
    <w:bookmarkStart w:id="0" w:name="_Hlk94973487" w:displacedByCustomXml="next"/>
    <w:sdt>
      <w:sdtPr>
        <w:rPr>
          <w:rFonts w:ascii="Times New Roman" w:eastAsiaTheme="minorHAnsi" w:hAnsi="Times New Roman" w:cs="Times New Roman"/>
          <w:b/>
          <w:color w:val="auto"/>
          <w:sz w:val="24"/>
          <w:szCs w:val="24"/>
          <w:lang w:eastAsia="en-US"/>
        </w:rPr>
        <w:id w:val="16891517"/>
        <w:docPartObj>
          <w:docPartGallery w:val="Table of Contents"/>
          <w:docPartUnique/>
        </w:docPartObj>
      </w:sdtPr>
      <w:sdtEndPr>
        <w:rPr>
          <w:rFonts w:cstheme="minorBidi"/>
          <w:bCs/>
          <w:szCs w:val="22"/>
        </w:rPr>
      </w:sdtEndPr>
      <w:sdtContent>
        <w:p w:rsidR="00FA1F4E" w:rsidRDefault="003B2CFF">
          <w:pPr>
            <w:pStyle w:val="13"/>
            <w:rPr>
              <w:rFonts w:ascii="Times New Roman" w:hAnsi="Times New Roman" w:cs="Times New Roman"/>
              <w:b/>
              <w:color w:val="auto"/>
              <w:sz w:val="24"/>
              <w:szCs w:val="24"/>
            </w:rPr>
          </w:pPr>
          <w:r>
            <w:rPr>
              <w:rFonts w:ascii="Times New Roman" w:hAnsi="Times New Roman" w:cs="Times New Roman"/>
              <w:b/>
              <w:color w:val="auto"/>
              <w:sz w:val="24"/>
              <w:szCs w:val="24"/>
            </w:rPr>
            <w:t>Оглавление</w:t>
          </w:r>
        </w:p>
        <w:p w:rsidR="00FA1F4E" w:rsidRDefault="003B2CFF">
          <w:pPr>
            <w:pStyle w:val="12"/>
            <w:rPr>
              <w:rFonts w:asciiTheme="minorHAnsi" w:eastAsiaTheme="minorEastAsia" w:hAnsiTheme="minorHAnsi"/>
              <w:sz w:val="22"/>
              <w:lang w:eastAsia="ru-RU"/>
            </w:rPr>
          </w:pPr>
          <w:r>
            <w:fldChar w:fldCharType="begin"/>
          </w:r>
          <w:r>
            <w:instrText xml:space="preserve"> TOC \o "1-3" \h \z \u </w:instrText>
          </w:r>
          <w:r>
            <w:fldChar w:fldCharType="separate"/>
          </w:r>
          <w:hyperlink w:anchor="_Toc106831742" w:history="1">
            <w:r>
              <w:rPr>
                <w:rStyle w:val="afd"/>
                <w:color w:val="auto"/>
              </w:rPr>
              <w:t>1. Введение</w:t>
            </w:r>
            <w:r>
              <w:tab/>
            </w:r>
            <w:r>
              <w:fldChar w:fldCharType="begin"/>
            </w:r>
            <w:r>
              <w:instrText xml:space="preserve"> PAGEREF _Toc106831742 \h </w:instrText>
            </w:r>
            <w:r>
              <w:fldChar w:fldCharType="separate"/>
            </w:r>
            <w:r>
              <w:t>4</w:t>
            </w:r>
            <w:r>
              <w:fldChar w:fldCharType="end"/>
            </w:r>
          </w:hyperlink>
        </w:p>
        <w:p w:rsidR="00FA1F4E" w:rsidRDefault="00A87669">
          <w:pPr>
            <w:pStyle w:val="12"/>
            <w:rPr>
              <w:rFonts w:asciiTheme="minorHAnsi" w:eastAsiaTheme="minorEastAsia" w:hAnsiTheme="minorHAnsi"/>
              <w:sz w:val="22"/>
              <w:lang w:eastAsia="ru-RU"/>
            </w:rPr>
          </w:pPr>
          <w:hyperlink w:anchor="_Toc106831743" w:history="1">
            <w:r w:rsidR="003B2CFF">
              <w:rPr>
                <w:rStyle w:val="afd"/>
                <w:color w:val="auto"/>
              </w:rPr>
              <w:t>2. Сведения об утвержденных документах стратегического планирования</w:t>
            </w:r>
            <w:r w:rsidR="003B2CFF">
              <w:tab/>
            </w:r>
            <w:r w:rsidR="003B2CFF">
              <w:fldChar w:fldCharType="begin"/>
            </w:r>
            <w:r w:rsidR="003B2CFF">
              <w:instrText xml:space="preserve"> PAGEREF _Toc106831743 \h </w:instrText>
            </w:r>
            <w:r w:rsidR="003B2CFF">
              <w:fldChar w:fldCharType="separate"/>
            </w:r>
            <w:r w:rsidR="003B2CFF">
              <w:t>6</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44" w:history="1">
            <w:r w:rsidR="003B2CFF">
              <w:rPr>
                <w:rStyle w:val="afd"/>
                <w:color w:val="auto"/>
              </w:rPr>
              <w:t>3. Общие сведения о территории, применительно к которой вносятся изменения в генеральный план</w:t>
            </w:r>
            <w:r w:rsidR="003B2CFF">
              <w:tab/>
            </w:r>
            <w:r w:rsidR="003B2CFF">
              <w:fldChar w:fldCharType="begin"/>
            </w:r>
            <w:r w:rsidR="003B2CFF">
              <w:instrText xml:space="preserve"> PAGEREF _Toc106831744 \h </w:instrText>
            </w:r>
            <w:r w:rsidR="003B2CFF">
              <w:fldChar w:fldCharType="separate"/>
            </w:r>
            <w:r w:rsidR="003B2CFF">
              <w:t>7</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45" w:history="1">
            <w:r w:rsidR="003B2CFF">
              <w:rPr>
                <w:rStyle w:val="afd"/>
                <w:color w:val="auto"/>
              </w:rPr>
              <w:t>3.1. Анализ реализации документов территориального планирования</w:t>
            </w:r>
            <w:r w:rsidR="003B2CFF">
              <w:tab/>
            </w:r>
            <w:r w:rsidR="003B2CFF">
              <w:fldChar w:fldCharType="begin"/>
            </w:r>
            <w:r w:rsidR="003B2CFF">
              <w:instrText xml:space="preserve"> PAGEREF _Toc106831745 \h </w:instrText>
            </w:r>
            <w:r w:rsidR="003B2CFF">
              <w:fldChar w:fldCharType="separate"/>
            </w:r>
            <w:r w:rsidR="003B2CFF">
              <w:t>8</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46" w:history="1">
            <w:r w:rsidR="003B2CFF">
              <w:rPr>
                <w:rStyle w:val="afd"/>
                <w:color w:val="auto"/>
              </w:rPr>
              <w:t>3.2. Современное использование территории. Границы лесничеств</w:t>
            </w:r>
            <w:r w:rsidR="003B2CFF">
              <w:tab/>
            </w:r>
            <w:r w:rsidR="003B2CFF">
              <w:fldChar w:fldCharType="begin"/>
            </w:r>
            <w:r w:rsidR="003B2CFF">
              <w:instrText xml:space="preserve"> PAGEREF _Toc106831746 \h </w:instrText>
            </w:r>
            <w:r w:rsidR="003B2CFF">
              <w:fldChar w:fldCharType="separate"/>
            </w:r>
            <w:r w:rsidR="003B2CFF">
              <w:t>8</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47" w:history="1">
            <w:r w:rsidR="003B2CFF">
              <w:rPr>
                <w:rStyle w:val="afd"/>
                <w:color w:val="auto"/>
              </w:rPr>
              <w:t>3.3. Территории объектов культурного наследия</w:t>
            </w:r>
            <w:r w:rsidR="003B2CFF">
              <w:tab/>
            </w:r>
            <w:r w:rsidR="003B2CFF">
              <w:fldChar w:fldCharType="begin"/>
            </w:r>
            <w:r w:rsidR="003B2CFF">
              <w:instrText xml:space="preserve"> PAGEREF _Toc106831747 \h </w:instrText>
            </w:r>
            <w:r w:rsidR="003B2CFF">
              <w:fldChar w:fldCharType="separate"/>
            </w:r>
            <w:r w:rsidR="003B2CFF">
              <w:t>12</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48" w:history="1">
            <w:r w:rsidR="003B2CFF">
              <w:rPr>
                <w:rStyle w:val="afd"/>
                <w:color w:val="auto"/>
              </w:rPr>
              <w:t>3.4. Особо охраняемые природные территории федерального, регионального, местного значения</w:t>
            </w:r>
            <w:r w:rsidR="003B2CFF">
              <w:tab/>
            </w:r>
            <w:r w:rsidR="003B2CFF">
              <w:fldChar w:fldCharType="begin"/>
            </w:r>
            <w:r w:rsidR="003B2CFF">
              <w:instrText xml:space="preserve"> PAGEREF _Toc106831748 \h </w:instrText>
            </w:r>
            <w:r w:rsidR="003B2CFF">
              <w:fldChar w:fldCharType="separate"/>
            </w:r>
            <w:r w:rsidR="003B2CFF">
              <w:t>13</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49" w:history="1">
            <w:r w:rsidR="003B2CFF">
              <w:rPr>
                <w:rStyle w:val="afd"/>
                <w:color w:val="auto"/>
              </w:rPr>
              <w:t>3.5. Месторождения полезных ископаемых</w:t>
            </w:r>
            <w:r w:rsidR="003B2CFF">
              <w:tab/>
            </w:r>
            <w:r w:rsidR="003B2CFF">
              <w:fldChar w:fldCharType="begin"/>
            </w:r>
            <w:r w:rsidR="003B2CFF">
              <w:instrText xml:space="preserve"> PAGEREF _Toc106831749 \h </w:instrText>
            </w:r>
            <w:r w:rsidR="003B2CFF">
              <w:fldChar w:fldCharType="separate"/>
            </w:r>
            <w:r w:rsidR="003B2CFF">
              <w:t>13</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50" w:history="1">
            <w:r w:rsidR="003B2CFF">
              <w:rPr>
                <w:rStyle w:val="afd"/>
                <w:color w:val="auto"/>
              </w:rPr>
              <w:t>3.6. Зоны с особыми условиями использования территорий</w:t>
            </w:r>
            <w:r w:rsidR="003B2CFF">
              <w:tab/>
            </w:r>
            <w:r w:rsidR="003B2CFF">
              <w:fldChar w:fldCharType="begin"/>
            </w:r>
            <w:r w:rsidR="003B2CFF">
              <w:instrText xml:space="preserve"> PAGEREF _Toc106831750 \h </w:instrText>
            </w:r>
            <w:r w:rsidR="003B2CFF">
              <w:fldChar w:fldCharType="separate"/>
            </w:r>
            <w:r w:rsidR="003B2CFF">
              <w:t>13</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51" w:history="1">
            <w:r w:rsidR="003B2CFF">
              <w:rPr>
                <w:rStyle w:val="afd"/>
                <w:color w:val="auto"/>
              </w:rPr>
              <w:t>3.7. Прочие планировочные ограничения</w:t>
            </w:r>
            <w:r w:rsidR="003B2CFF">
              <w:tab/>
            </w:r>
            <w:r w:rsidR="003B2CFF">
              <w:fldChar w:fldCharType="begin"/>
            </w:r>
            <w:r w:rsidR="003B2CFF">
              <w:instrText xml:space="preserve"> PAGEREF _Toc106831751 \h </w:instrText>
            </w:r>
            <w:r w:rsidR="003B2CFF">
              <w:fldChar w:fldCharType="separate"/>
            </w:r>
            <w:r w:rsidR="003B2CFF">
              <w:t>22</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52" w:history="1">
            <w:r w:rsidR="003B2CFF">
              <w:rPr>
                <w:rStyle w:val="afd"/>
                <w:color w:val="auto"/>
              </w:rPr>
              <w:t>4. Сведения об обращениях заинтересованных лиц</w:t>
            </w:r>
            <w:r w:rsidR="003B2CFF">
              <w:tab/>
            </w:r>
            <w:r w:rsidR="003B2CFF">
              <w:fldChar w:fldCharType="begin"/>
            </w:r>
            <w:r w:rsidR="003B2CFF">
              <w:instrText xml:space="preserve"> PAGEREF _Toc106831752 \h </w:instrText>
            </w:r>
            <w:r w:rsidR="003B2CFF">
              <w:fldChar w:fldCharType="separate"/>
            </w:r>
            <w:r w:rsidR="003B2CFF">
              <w:t>27</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53" w:history="1">
            <w:r w:rsidR="003B2CFF">
              <w:rPr>
                <w:rStyle w:val="afd"/>
                <w:color w:val="auto"/>
              </w:rPr>
              <w:t>5. Уточнение параметров и границ функциональных зон</w:t>
            </w:r>
            <w:r w:rsidR="003B2CFF">
              <w:tab/>
            </w:r>
            <w:r w:rsidR="003B2CFF">
              <w:fldChar w:fldCharType="begin"/>
            </w:r>
            <w:r w:rsidR="003B2CFF">
              <w:instrText xml:space="preserve"> PAGEREF _Toc106831753 \h </w:instrText>
            </w:r>
            <w:r w:rsidR="003B2CFF">
              <w:fldChar w:fldCharType="separate"/>
            </w:r>
            <w:r w:rsidR="003B2CFF">
              <w:t>28</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54" w:history="1">
            <w:r w:rsidR="003B2CFF">
              <w:rPr>
                <w:rStyle w:val="afd"/>
                <w:color w:val="auto"/>
              </w:rPr>
              <w:t>5.1. Уточнение параметров функциональных зон</w:t>
            </w:r>
            <w:r w:rsidR="003B2CFF">
              <w:tab/>
            </w:r>
            <w:r w:rsidR="003B2CFF">
              <w:fldChar w:fldCharType="begin"/>
            </w:r>
            <w:r w:rsidR="003B2CFF">
              <w:instrText xml:space="preserve"> PAGEREF _Toc106831754 \h </w:instrText>
            </w:r>
            <w:r w:rsidR="003B2CFF">
              <w:fldChar w:fldCharType="separate"/>
            </w:r>
            <w:r w:rsidR="003B2CFF">
              <w:t>28</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55" w:history="1">
            <w:r w:rsidR="003B2CFF">
              <w:rPr>
                <w:rStyle w:val="afd"/>
                <w:color w:val="auto"/>
              </w:rPr>
              <w:t>5.2. Уточнение границ функциональных зон</w:t>
            </w:r>
            <w:r w:rsidR="003B2CFF">
              <w:tab/>
            </w:r>
            <w:r w:rsidR="003B2CFF">
              <w:fldChar w:fldCharType="begin"/>
            </w:r>
            <w:r w:rsidR="003B2CFF">
              <w:instrText xml:space="preserve"> PAGEREF _Toc106831755 \h </w:instrText>
            </w:r>
            <w:r w:rsidR="003B2CFF">
              <w:fldChar w:fldCharType="separate"/>
            </w:r>
            <w:r w:rsidR="003B2CFF">
              <w:t>28</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56" w:history="1">
            <w:r w:rsidR="003B2CFF">
              <w:rPr>
                <w:rStyle w:val="afd"/>
                <w:color w:val="auto"/>
              </w:rPr>
              <w:t>6. Обоснование выбранного варианта размещения объекта местного значения поселения в области водоснабжения населения, расположенного на земельных участках с кадастровыми номерами 47:06:0405001:405 и 47:06:0405001:406</w:t>
            </w:r>
            <w:r w:rsidR="003B2CFF">
              <w:tab/>
            </w:r>
            <w:r w:rsidR="003B2CFF">
              <w:fldChar w:fldCharType="begin"/>
            </w:r>
            <w:r w:rsidR="003B2CFF">
              <w:instrText xml:space="preserve"> PAGEREF _Toc106831756 \h </w:instrText>
            </w:r>
            <w:r w:rsidR="003B2CFF">
              <w:fldChar w:fldCharType="separate"/>
            </w:r>
            <w:r w:rsidR="003B2CFF">
              <w:t>38</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57" w:history="1">
            <w:r w:rsidR="003B2CFF">
              <w:rPr>
                <w:rStyle w:val="afd"/>
                <w:color w:val="auto"/>
              </w:rPr>
              <w:t>7. Уточнение параметров планируемых объектов местного значения</w:t>
            </w:r>
            <w:r w:rsidR="003B2CFF">
              <w:tab/>
            </w:r>
            <w:r w:rsidR="003B2CFF">
              <w:fldChar w:fldCharType="begin"/>
            </w:r>
            <w:r w:rsidR="003B2CFF">
              <w:instrText xml:space="preserve"> PAGEREF _Toc106831757 \h </w:instrText>
            </w:r>
            <w:r w:rsidR="003B2CFF">
              <w:fldChar w:fldCharType="separate"/>
            </w:r>
            <w:r w:rsidR="003B2CFF">
              <w:t>40</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58" w:history="1">
            <w:r w:rsidR="003B2CFF">
              <w:rPr>
                <w:rStyle w:val="afd"/>
                <w:color w:val="auto"/>
              </w:rPr>
              <w:t>7.1. Уточнение параметров планируемых объектов образования</w:t>
            </w:r>
            <w:r w:rsidR="003B2CFF">
              <w:tab/>
            </w:r>
            <w:r w:rsidR="003B2CFF">
              <w:fldChar w:fldCharType="begin"/>
            </w:r>
            <w:r w:rsidR="003B2CFF">
              <w:instrText xml:space="preserve"> PAGEREF _Toc106831758 \h </w:instrText>
            </w:r>
            <w:r w:rsidR="003B2CFF">
              <w:fldChar w:fldCharType="separate"/>
            </w:r>
            <w:r w:rsidR="003B2CFF">
              <w:t>40</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59" w:history="1">
            <w:r w:rsidR="003B2CFF">
              <w:rPr>
                <w:rStyle w:val="afd"/>
                <w:color w:val="auto"/>
              </w:rPr>
              <w:t>7.2. Уточнение параметров планируемых объектов физической культуры и спорта</w:t>
            </w:r>
            <w:r w:rsidR="003B2CFF">
              <w:tab/>
            </w:r>
            <w:r w:rsidR="003B2CFF">
              <w:fldChar w:fldCharType="begin"/>
            </w:r>
            <w:r w:rsidR="003B2CFF">
              <w:instrText xml:space="preserve"> PAGEREF _Toc106831759 \h </w:instrText>
            </w:r>
            <w:r w:rsidR="003B2CFF">
              <w:fldChar w:fldCharType="separate"/>
            </w:r>
            <w:r w:rsidR="003B2CFF">
              <w:t>41</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60" w:history="1">
            <w:r w:rsidR="003B2CFF">
              <w:rPr>
                <w:rStyle w:val="afd"/>
                <w:color w:val="auto"/>
              </w:rPr>
              <w:t>7.3. Уточнение параметров планируемых объектов в иных областях в связи с решением вопросов местного значения поселения</w:t>
            </w:r>
            <w:r w:rsidR="003B2CFF">
              <w:tab/>
            </w:r>
            <w:r w:rsidR="003B2CFF">
              <w:fldChar w:fldCharType="begin"/>
            </w:r>
            <w:r w:rsidR="003B2CFF">
              <w:instrText xml:space="preserve"> PAGEREF _Toc106831760 \h </w:instrText>
            </w:r>
            <w:r w:rsidR="003B2CFF">
              <w:fldChar w:fldCharType="separate"/>
            </w:r>
            <w:r w:rsidR="003B2CFF">
              <w:t>41</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61" w:history="1">
            <w:r w:rsidR="003B2CFF">
              <w:rPr>
                <w:rStyle w:val="afd"/>
                <w:color w:val="auto"/>
              </w:rPr>
              <w:t>7.4. Уточнение параметров планируемых объектов коммунальной инфраструктуры</w:t>
            </w:r>
            <w:r w:rsidR="003B2CFF">
              <w:tab/>
            </w:r>
            <w:r w:rsidR="003B2CFF">
              <w:fldChar w:fldCharType="begin"/>
            </w:r>
            <w:r w:rsidR="003B2CFF">
              <w:instrText xml:space="preserve"> PAGEREF _Toc106831761 \h </w:instrText>
            </w:r>
            <w:r w:rsidR="003B2CFF">
              <w:fldChar w:fldCharType="separate"/>
            </w:r>
            <w:r w:rsidR="003B2CFF">
              <w:t>43</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62" w:history="1">
            <w:r w:rsidR="003B2CFF">
              <w:rPr>
                <w:rStyle w:val="afd"/>
                <w:color w:val="auto"/>
              </w:rPr>
              <w:t>7.5. Уточнение параметров планируемых объектов транспортной инфраструктуры</w:t>
            </w:r>
            <w:r w:rsidR="003B2CFF">
              <w:tab/>
            </w:r>
            <w:r w:rsidR="003B2CFF">
              <w:fldChar w:fldCharType="begin"/>
            </w:r>
            <w:r w:rsidR="003B2CFF">
              <w:instrText xml:space="preserve"> PAGEREF _Toc106831762 \h </w:instrText>
            </w:r>
            <w:r w:rsidR="003B2CFF">
              <w:fldChar w:fldCharType="separate"/>
            </w:r>
            <w:r w:rsidR="003B2CFF">
              <w:t>49</w:t>
            </w:r>
            <w:r w:rsidR="003B2CFF">
              <w:fldChar w:fldCharType="end"/>
            </w:r>
          </w:hyperlink>
        </w:p>
        <w:p w:rsidR="00FA1F4E" w:rsidRDefault="00A87669">
          <w:pPr>
            <w:pStyle w:val="27"/>
            <w:tabs>
              <w:tab w:val="right" w:leader="dot" w:pos="10195"/>
            </w:tabs>
            <w:spacing w:after="0"/>
            <w:rPr>
              <w:rFonts w:asciiTheme="minorHAnsi" w:eastAsiaTheme="minorEastAsia" w:hAnsiTheme="minorHAnsi"/>
              <w:sz w:val="22"/>
              <w:lang w:eastAsia="ru-RU"/>
            </w:rPr>
          </w:pPr>
          <w:hyperlink w:anchor="_Toc106831763" w:history="1">
            <w:r w:rsidR="003B2CFF">
              <w:rPr>
                <w:rStyle w:val="afd"/>
                <w:color w:val="auto"/>
              </w:rPr>
              <w:t>7.6. Учет интересов маломобильных групп населения</w:t>
            </w:r>
            <w:r w:rsidR="003B2CFF">
              <w:tab/>
            </w:r>
            <w:r w:rsidR="003B2CFF">
              <w:fldChar w:fldCharType="begin"/>
            </w:r>
            <w:r w:rsidR="003B2CFF">
              <w:instrText xml:space="preserve"> PAGEREF _Toc106831763 \h </w:instrText>
            </w:r>
            <w:r w:rsidR="003B2CFF">
              <w:fldChar w:fldCharType="separate"/>
            </w:r>
            <w:r w:rsidR="003B2CFF">
              <w:t>51</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64" w:history="1">
            <w:r w:rsidR="003B2CFF">
              <w:rPr>
                <w:rStyle w:val="afd"/>
                <w:color w:val="auto"/>
              </w:rPr>
              <w:t>8. Оценка возможного влияния планируемых для размещения объектов местного значения поселения на комплексное развитие этих территорий</w:t>
            </w:r>
            <w:r w:rsidR="003B2CFF">
              <w:tab/>
            </w:r>
            <w:r w:rsidR="003B2CFF">
              <w:fldChar w:fldCharType="begin"/>
            </w:r>
            <w:r w:rsidR="003B2CFF">
              <w:instrText xml:space="preserve"> PAGEREF _Toc106831764 \h </w:instrText>
            </w:r>
            <w:r w:rsidR="003B2CFF">
              <w:fldChar w:fldCharType="separate"/>
            </w:r>
            <w:r w:rsidR="003B2CFF">
              <w:t>54</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65" w:history="1">
            <w:r w:rsidR="003B2CFF">
              <w:rPr>
                <w:rStyle w:val="afd"/>
                <w:color w:val="auto"/>
              </w:rPr>
              <w:t>9. Изменение границы города Лодейное Поле</w:t>
            </w:r>
            <w:r w:rsidR="003B2CFF">
              <w:tab/>
            </w:r>
            <w:r w:rsidR="003B2CFF">
              <w:fldChar w:fldCharType="begin"/>
            </w:r>
            <w:r w:rsidR="003B2CFF">
              <w:instrText xml:space="preserve"> PAGEREF _Toc106831765 \h </w:instrText>
            </w:r>
            <w:r w:rsidR="003B2CFF">
              <w:fldChar w:fldCharType="separate"/>
            </w:r>
            <w:r w:rsidR="003B2CFF">
              <w:t>53</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66" w:history="1">
            <w:r w:rsidR="003B2CFF">
              <w:rPr>
                <w:rStyle w:val="afd"/>
                <w:color w:val="auto"/>
              </w:rPr>
              <w:t>10. Сведения о видах, назначении и наименованиях планируемых для размещения объектов федерального значения, утвержденных документами территориального планирования Российской Федерации</w:t>
            </w:r>
            <w:r w:rsidR="003B2CFF">
              <w:tab/>
            </w:r>
            <w:r w:rsidR="003B2CFF">
              <w:fldChar w:fldCharType="begin"/>
            </w:r>
            <w:r w:rsidR="003B2CFF">
              <w:instrText xml:space="preserve"> PAGEREF _Toc106831766 \h </w:instrText>
            </w:r>
            <w:r w:rsidR="003B2CFF">
              <w:fldChar w:fldCharType="separate"/>
            </w:r>
            <w:r w:rsidR="003B2CFF">
              <w:t>54</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67" w:history="1">
            <w:r w:rsidR="003B2CFF">
              <w:rPr>
                <w:rStyle w:val="afd"/>
                <w:color w:val="auto"/>
              </w:rPr>
              <w:t>11. Сведения о видах, назначении и наименованиях планируемых для размещения объектов регионального значения, утвержденные документами территориального планирования Ленинградской области</w:t>
            </w:r>
            <w:r w:rsidR="003B2CFF">
              <w:tab/>
            </w:r>
            <w:r w:rsidR="003B2CFF">
              <w:fldChar w:fldCharType="begin"/>
            </w:r>
            <w:r w:rsidR="003B2CFF">
              <w:instrText xml:space="preserve"> PAGEREF _Toc106831767 \h </w:instrText>
            </w:r>
            <w:r w:rsidR="003B2CFF">
              <w:fldChar w:fldCharType="separate"/>
            </w:r>
            <w:r w:rsidR="003B2CFF">
              <w:t>60</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68" w:history="1">
            <w:r w:rsidR="003B2CFF">
              <w:rPr>
                <w:rStyle w:val="afd"/>
                <w:color w:val="auto"/>
              </w:rPr>
              <w:t>12. Сведения о видах, назначении и наименованиях планируемых для размещения объектов местного значения, утвержденных схемой территориального планирования Лодейнопольского муниципального района</w:t>
            </w:r>
            <w:r w:rsidR="003B2CFF">
              <w:tab/>
            </w:r>
            <w:r w:rsidR="003B2CFF">
              <w:fldChar w:fldCharType="begin"/>
            </w:r>
            <w:r w:rsidR="003B2CFF">
              <w:instrText xml:space="preserve"> PAGEREF _Toc106831768 \h </w:instrText>
            </w:r>
            <w:r w:rsidR="003B2CFF">
              <w:fldChar w:fldCharType="separate"/>
            </w:r>
            <w:r w:rsidR="003B2CFF">
              <w:t>64</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69" w:history="1">
            <w:r w:rsidR="003B2CFF">
              <w:rPr>
                <w:rStyle w:val="afd"/>
                <w:color w:val="auto"/>
              </w:rPr>
              <w:t>13. Перечень и характеристика основных факторов риска возникновения чрезвычайных ситуаций природного и техногенного характера</w:t>
            </w:r>
            <w:r w:rsidR="003B2CFF">
              <w:tab/>
            </w:r>
            <w:r w:rsidR="003B2CFF">
              <w:fldChar w:fldCharType="begin"/>
            </w:r>
            <w:r w:rsidR="003B2CFF">
              <w:instrText xml:space="preserve"> PAGEREF _Toc106831769 \h </w:instrText>
            </w:r>
            <w:r w:rsidR="003B2CFF">
              <w:fldChar w:fldCharType="separate"/>
            </w:r>
            <w:r w:rsidR="003B2CFF">
              <w:t>66</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70" w:history="1">
            <w:r w:rsidR="003B2CFF">
              <w:rPr>
                <w:rStyle w:val="afd"/>
                <w:color w:val="auto"/>
              </w:rPr>
              <w:t>Приложение 1. Перечень объектов культурного наследия, расположенных на территории города Лодейное Поле</w:t>
            </w:r>
            <w:r w:rsidR="003B2CFF">
              <w:tab/>
            </w:r>
            <w:r w:rsidR="003B2CFF">
              <w:fldChar w:fldCharType="begin"/>
            </w:r>
            <w:r w:rsidR="003B2CFF">
              <w:instrText xml:space="preserve"> PAGEREF _Toc106831770 \h </w:instrText>
            </w:r>
            <w:r w:rsidR="003B2CFF">
              <w:fldChar w:fldCharType="separate"/>
            </w:r>
            <w:r w:rsidR="003B2CFF">
              <w:t>72</w:t>
            </w:r>
            <w:r w:rsidR="003B2CFF">
              <w:fldChar w:fldCharType="end"/>
            </w:r>
          </w:hyperlink>
        </w:p>
        <w:p w:rsidR="00FA1F4E" w:rsidRDefault="00A87669">
          <w:pPr>
            <w:pStyle w:val="12"/>
            <w:rPr>
              <w:rFonts w:asciiTheme="minorHAnsi" w:eastAsiaTheme="minorEastAsia" w:hAnsiTheme="minorHAnsi"/>
              <w:sz w:val="22"/>
              <w:lang w:eastAsia="ru-RU"/>
            </w:rPr>
          </w:pPr>
          <w:hyperlink w:anchor="_Toc106831771" w:history="1">
            <w:r w:rsidR="003B2CFF">
              <w:rPr>
                <w:rStyle w:val="afd"/>
                <w:color w:val="auto"/>
              </w:rPr>
              <w:t>Приложение 2. Перечень объектов капитального строительства абонентов и территорий, которые необходимо подключить к централизованным системам водоснабжения и (или) водоотведения</w:t>
            </w:r>
            <w:r w:rsidR="003B2CFF">
              <w:tab/>
            </w:r>
            <w:r w:rsidR="003B2CFF">
              <w:fldChar w:fldCharType="begin"/>
            </w:r>
            <w:r w:rsidR="003B2CFF">
              <w:instrText xml:space="preserve"> PAGEREF _Toc106831771 \h </w:instrText>
            </w:r>
            <w:r w:rsidR="003B2CFF">
              <w:fldChar w:fldCharType="separate"/>
            </w:r>
            <w:r w:rsidR="003B2CFF">
              <w:t>81</w:t>
            </w:r>
            <w:r w:rsidR="003B2CFF">
              <w:fldChar w:fldCharType="end"/>
            </w:r>
          </w:hyperlink>
        </w:p>
        <w:p w:rsidR="00FA1F4E" w:rsidRDefault="003B2CFF">
          <w:pPr>
            <w:ind w:firstLine="0"/>
            <w:rPr>
              <w:b/>
              <w:bCs/>
            </w:rPr>
          </w:pPr>
          <w:r>
            <w:rPr>
              <w:b/>
              <w:bCs/>
            </w:rPr>
            <w:fldChar w:fldCharType="end"/>
          </w:r>
        </w:p>
      </w:sdtContent>
    </w:sdt>
    <w:bookmarkEnd w:id="0"/>
    <w:p w:rsidR="00FA1F4E" w:rsidRDefault="00FA1F4E">
      <w:pPr>
        <w:ind w:firstLine="0"/>
        <w:rPr>
          <w:b/>
          <w:bCs/>
        </w:rPr>
      </w:pPr>
    </w:p>
    <w:p w:rsidR="00FA1F4E" w:rsidRDefault="003B2CFF">
      <w:pPr>
        <w:rPr>
          <w:b/>
        </w:rPr>
      </w:pPr>
      <w:r>
        <w:rPr>
          <w:b/>
        </w:rPr>
        <w:br w:type="column"/>
      </w:r>
      <w:r>
        <w:rPr>
          <w:b/>
        </w:rPr>
        <w:lastRenderedPageBreak/>
        <w:t>Состав материалов</w:t>
      </w:r>
    </w:p>
    <w:p w:rsidR="00FA1F4E" w:rsidRDefault="00FA1F4E">
      <w:pPr>
        <w:rPr>
          <w:b/>
        </w:rPr>
      </w:pPr>
    </w:p>
    <w:p w:rsidR="00FA1F4E" w:rsidRDefault="003B2CFF">
      <w:pPr>
        <w:rPr>
          <w:b/>
        </w:rPr>
      </w:pPr>
      <w:r>
        <w:rPr>
          <w:b/>
        </w:rPr>
        <w:t>1. Генеральный план</w:t>
      </w:r>
      <w:r>
        <w:t xml:space="preserve"> </w:t>
      </w:r>
      <w:r>
        <w:rPr>
          <w:b/>
        </w:rPr>
        <w:t>Лодейнопольского городского поселения Лодейнопольского муниципального района Ленинградской области</w:t>
      </w:r>
      <w:r>
        <w:rPr>
          <w:rFonts w:cs="Times New Roman"/>
          <w:b/>
        </w:rPr>
        <w:t xml:space="preserve"> применительно к городу Лодейное Поле (новая редакция)</w:t>
      </w:r>
      <w:r>
        <w:rPr>
          <w:b/>
        </w:rPr>
        <w:t>:</w:t>
      </w:r>
    </w:p>
    <w:p w:rsidR="00FA1F4E" w:rsidRDefault="003B2CFF">
      <w:pPr>
        <w:pStyle w:val="afff"/>
        <w:numPr>
          <w:ilvl w:val="0"/>
          <w:numId w:val="4"/>
        </w:numPr>
      </w:pPr>
      <w:r>
        <w:t>Положение о территориальном планировании.</w:t>
      </w:r>
    </w:p>
    <w:p w:rsidR="00FA1F4E" w:rsidRDefault="003B2CFF">
      <w:pPr>
        <w:pStyle w:val="afff"/>
        <w:numPr>
          <w:ilvl w:val="0"/>
          <w:numId w:val="4"/>
        </w:numPr>
      </w:pPr>
      <w:r>
        <w:t>Карта планируемого размещения объектов местного значения поселения.</w:t>
      </w:r>
    </w:p>
    <w:p w:rsidR="00FA1F4E" w:rsidRDefault="003B2CFF">
      <w:pPr>
        <w:pStyle w:val="afff"/>
        <w:numPr>
          <w:ilvl w:val="0"/>
          <w:numId w:val="4"/>
        </w:numPr>
      </w:pPr>
      <w:r>
        <w:t>Карта границ населенных пунктов, входящих в состав поселения.</w:t>
      </w:r>
    </w:p>
    <w:p w:rsidR="00FA1F4E" w:rsidRDefault="003B2CFF">
      <w:pPr>
        <w:pStyle w:val="afff"/>
        <w:numPr>
          <w:ilvl w:val="0"/>
          <w:numId w:val="4"/>
        </w:numPr>
      </w:pPr>
      <w:r>
        <w:t>Карта функциональных зон поселения.</w:t>
      </w:r>
    </w:p>
    <w:p w:rsidR="00FA1F4E" w:rsidRDefault="003B2CFF">
      <w:pPr>
        <w:pStyle w:val="afff"/>
        <w:numPr>
          <w:ilvl w:val="0"/>
          <w:numId w:val="4"/>
        </w:numPr>
      </w:pPr>
      <w:r>
        <w:t>Приложение к генеральному плану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 (сведения о границах населенного пункта).</w:t>
      </w:r>
    </w:p>
    <w:p w:rsidR="00FA1F4E" w:rsidRDefault="00FA1F4E"/>
    <w:p w:rsidR="00FA1F4E" w:rsidRDefault="003B2CFF">
      <w:pPr>
        <w:rPr>
          <w:b/>
        </w:rPr>
      </w:pPr>
      <w:r>
        <w:rPr>
          <w:b/>
        </w:rPr>
        <w:t>2. Материалы по обоснованию генерального плана</w:t>
      </w:r>
      <w:r>
        <w:t xml:space="preserve"> </w:t>
      </w:r>
      <w:r>
        <w:rPr>
          <w:b/>
        </w:rPr>
        <w:t xml:space="preserve">Лодейнопольского городского поселения Лодейнопольского муниципального района Ленинградской области </w:t>
      </w:r>
      <w:r>
        <w:rPr>
          <w:rFonts w:cs="Times New Roman"/>
          <w:b/>
        </w:rPr>
        <w:t>применительно к городу Лодейное Поле</w:t>
      </w:r>
      <w:r>
        <w:rPr>
          <w:b/>
        </w:rPr>
        <w:t xml:space="preserve"> </w:t>
      </w:r>
      <w:r>
        <w:rPr>
          <w:rFonts w:cs="Times New Roman"/>
          <w:b/>
        </w:rPr>
        <w:t xml:space="preserve">(новая редакция) </w:t>
      </w:r>
      <w:r>
        <w:rPr>
          <w:b/>
        </w:rPr>
        <w:t>в текстовой форме:</w:t>
      </w:r>
    </w:p>
    <w:p w:rsidR="00FA1F4E" w:rsidRDefault="003B2CFF">
      <w:pPr>
        <w:pStyle w:val="afff"/>
        <w:numPr>
          <w:ilvl w:val="1"/>
          <w:numId w:val="5"/>
        </w:numPr>
      </w:pPr>
      <w:r>
        <w:t>Материалы по обоснованию генерального плана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w:t>
      </w:r>
    </w:p>
    <w:p w:rsidR="00FA1F4E" w:rsidRDefault="00FA1F4E">
      <w:pPr>
        <w:pStyle w:val="afff"/>
        <w:ind w:left="1069" w:firstLine="0"/>
      </w:pPr>
    </w:p>
    <w:p w:rsidR="00FA1F4E" w:rsidRDefault="003B2CFF">
      <w:pPr>
        <w:rPr>
          <w:b/>
        </w:rPr>
      </w:pPr>
      <w:r>
        <w:rPr>
          <w:b/>
        </w:rPr>
        <w:t>3. Материалы по обоснованию генерального плана</w:t>
      </w:r>
      <w:r>
        <w:t xml:space="preserve"> </w:t>
      </w:r>
      <w:r>
        <w:rPr>
          <w:b/>
        </w:rPr>
        <w:t xml:space="preserve">Лодейнопольского городского поселения Лодейнопольского муниципального района Ленинградской области </w:t>
      </w:r>
      <w:r>
        <w:rPr>
          <w:rFonts w:cs="Times New Roman"/>
          <w:b/>
        </w:rPr>
        <w:t>применительно к городу Лодейное Поле</w:t>
      </w:r>
      <w:r>
        <w:rPr>
          <w:b/>
        </w:rPr>
        <w:t xml:space="preserve"> </w:t>
      </w:r>
      <w:r>
        <w:rPr>
          <w:rFonts w:cs="Times New Roman"/>
          <w:b/>
        </w:rPr>
        <w:t xml:space="preserve">(новая редакция) </w:t>
      </w:r>
      <w:r>
        <w:rPr>
          <w:b/>
        </w:rPr>
        <w:t>в виде карт:</w:t>
      </w:r>
    </w:p>
    <w:p w:rsidR="00FA1F4E" w:rsidRDefault="003B2CFF">
      <w:pPr>
        <w:pStyle w:val="afff"/>
        <w:numPr>
          <w:ilvl w:val="1"/>
          <w:numId w:val="6"/>
        </w:numPr>
      </w:pPr>
      <w:r>
        <w:t>Карта современного использования территории. Карта зон с особыми условиями использования территорий. Карта объектов культурного наследия.</w:t>
      </w:r>
    </w:p>
    <w:p w:rsidR="00FA1F4E" w:rsidRDefault="003B2CFF">
      <w:pPr>
        <w:pStyle w:val="afff"/>
        <w:numPr>
          <w:ilvl w:val="1"/>
          <w:numId w:val="6"/>
        </w:numPr>
      </w:pPr>
      <w:r>
        <w:t>Карта развития объектов транспортной инфраструктуры.</w:t>
      </w:r>
    </w:p>
    <w:p w:rsidR="00FA1F4E" w:rsidRDefault="003B2CFF">
      <w:pPr>
        <w:pStyle w:val="afff"/>
        <w:numPr>
          <w:ilvl w:val="1"/>
          <w:numId w:val="6"/>
        </w:numPr>
      </w:pPr>
      <w:r>
        <w:t>Карта развития объектов трубопроводного транспорта и инженерной инфраструктуры (объекты газоснабжения, теплоснабжения, электроснабжения).</w:t>
      </w:r>
    </w:p>
    <w:p w:rsidR="00FA1F4E" w:rsidRDefault="003B2CFF">
      <w:pPr>
        <w:pStyle w:val="afff"/>
        <w:numPr>
          <w:ilvl w:val="1"/>
          <w:numId w:val="6"/>
        </w:numPr>
      </w:pPr>
      <w:r>
        <w:t>Карта развития объектов инженерной инфраструктуры (объекты водоснабжения населения, водоотведения).</w:t>
      </w:r>
    </w:p>
    <w:p w:rsidR="00FA1F4E" w:rsidRDefault="003B2CFF">
      <w:pPr>
        <w:pStyle w:val="afff"/>
        <w:numPr>
          <w:ilvl w:val="1"/>
          <w:numId w:val="6"/>
        </w:numPr>
      </w:pPr>
      <w:r>
        <w:t>Карта развития объектов социальной инфраструктуры, объектов в иных областях в связи с решением вопросов местного значения, регионального значения.</w:t>
      </w:r>
    </w:p>
    <w:p w:rsidR="00FA1F4E" w:rsidRDefault="003B2CFF">
      <w:pPr>
        <w:pStyle w:val="afff"/>
        <w:numPr>
          <w:ilvl w:val="1"/>
          <w:numId w:val="6"/>
        </w:numPr>
      </w:pPr>
      <w:r>
        <w:t>Карта объектов культурного наследия.</w:t>
      </w:r>
    </w:p>
    <w:p w:rsidR="00FA1F4E" w:rsidRDefault="003B2CFF">
      <w:pPr>
        <w:pStyle w:val="afff"/>
        <w:numPr>
          <w:ilvl w:val="1"/>
          <w:numId w:val="6"/>
        </w:numPr>
      </w:pPr>
      <w:r>
        <w:t>Карта территорий, подверженных риску возникновения чрезвычайных ситуаций природного и техногенного характера.</w:t>
      </w:r>
    </w:p>
    <w:p w:rsidR="00FA1F4E" w:rsidRDefault="00FA1F4E">
      <w:pPr>
        <w:pStyle w:val="afff"/>
        <w:ind w:left="1069" w:firstLine="0"/>
      </w:pPr>
    </w:p>
    <w:p w:rsidR="00FA1F4E" w:rsidRDefault="003B2CFF">
      <w:pPr>
        <w:rPr>
          <w:b/>
        </w:rPr>
      </w:pPr>
      <w:r>
        <w:rPr>
          <w:b/>
        </w:rPr>
        <w:t>4. Исходно-разрешительная документация.</w:t>
      </w:r>
    </w:p>
    <w:p w:rsidR="00FA1F4E" w:rsidRDefault="003B2CFF">
      <w:pPr>
        <w:rPr>
          <w:b/>
        </w:rPr>
      </w:pPr>
      <w:r>
        <w:br w:type="page"/>
      </w:r>
      <w:bookmarkStart w:id="1" w:name="_Toc102501770"/>
      <w:r>
        <w:rPr>
          <w:b/>
        </w:rPr>
        <w:lastRenderedPageBreak/>
        <w:t>Список сокращений:</w:t>
      </w:r>
      <w:bookmarkEnd w:id="1"/>
    </w:p>
    <w:p w:rsidR="00FA1F4E" w:rsidRDefault="00FA1F4E"/>
    <w:p w:rsidR="00FA1F4E" w:rsidRDefault="003B2CFF">
      <w:r>
        <w:t>АХОВ – аварийно химически опасное вещество</w:t>
      </w:r>
    </w:p>
    <w:p w:rsidR="00FA1F4E" w:rsidRDefault="003B2CFF">
      <w:r>
        <w:t xml:space="preserve">ВЛ </w:t>
      </w:r>
      <w:r>
        <w:tab/>
        <w:t>– воздушная линия электропередачи</w:t>
      </w:r>
    </w:p>
    <w:p w:rsidR="00FA1F4E" w:rsidRDefault="003B2CFF">
      <w:r>
        <w:t xml:space="preserve">г. </w:t>
      </w:r>
      <w:r>
        <w:tab/>
        <w:t>– город</w:t>
      </w:r>
    </w:p>
    <w:p w:rsidR="00FA1F4E" w:rsidRDefault="003B2CFF">
      <w:r>
        <w:t>ГСМ</w:t>
      </w:r>
      <w:r>
        <w:tab/>
        <w:t>– горюче-смазочные материалы</w:t>
      </w:r>
    </w:p>
    <w:p w:rsidR="00FA1F4E" w:rsidRDefault="003B2CFF">
      <w:r>
        <w:t>ГРС</w:t>
      </w:r>
      <w:r>
        <w:tab/>
        <w:t>– газораспределительная станция</w:t>
      </w:r>
    </w:p>
    <w:p w:rsidR="00FA1F4E" w:rsidRDefault="003B2CFF">
      <w:r>
        <w:t xml:space="preserve">ЕГРН </w:t>
      </w:r>
      <w:r>
        <w:tab/>
        <w:t>– Единый государственный реестр недвижимости</w:t>
      </w:r>
    </w:p>
    <w:p w:rsidR="00FA1F4E" w:rsidRDefault="003B2CFF">
      <w:r>
        <w:t xml:space="preserve">ЗСО </w:t>
      </w:r>
      <w:r>
        <w:tab/>
        <w:t>– зона санитарной охраны</w:t>
      </w:r>
    </w:p>
    <w:p w:rsidR="00FA1F4E" w:rsidRDefault="003B2CFF">
      <w:r>
        <w:t xml:space="preserve">КОС </w:t>
      </w:r>
      <w:r>
        <w:tab/>
        <w:t>– канализационные очистные сооружения</w:t>
      </w:r>
    </w:p>
    <w:p w:rsidR="00FA1F4E" w:rsidRDefault="003B2CFF">
      <w:r>
        <w:t xml:space="preserve">оз. </w:t>
      </w:r>
      <w:r>
        <w:tab/>
        <w:t>– озеро</w:t>
      </w:r>
    </w:p>
    <w:p w:rsidR="00FA1F4E" w:rsidRDefault="003B2CFF">
      <w:r>
        <w:t xml:space="preserve">ПС </w:t>
      </w:r>
      <w:r>
        <w:tab/>
        <w:t>– электрическая подстанция</w:t>
      </w:r>
    </w:p>
    <w:p w:rsidR="00FA1F4E" w:rsidRDefault="003B2CFF">
      <w:r>
        <w:t xml:space="preserve">р. </w:t>
      </w:r>
      <w:r>
        <w:tab/>
        <w:t>– река</w:t>
      </w:r>
    </w:p>
    <w:p w:rsidR="00FA1F4E" w:rsidRDefault="003B2CFF">
      <w:r>
        <w:t>СНТ</w:t>
      </w:r>
      <w:r>
        <w:tab/>
        <w:t>– садоводческое некоммерческое товарищество</w:t>
      </w:r>
    </w:p>
    <w:p w:rsidR="00FA1F4E" w:rsidRDefault="003B2CFF">
      <w:r>
        <w:t>СУГ</w:t>
      </w:r>
      <w:r>
        <w:tab/>
        <w:t>– сжиженный углеводородный газ</w:t>
      </w:r>
    </w:p>
    <w:p w:rsidR="00FA1F4E" w:rsidRDefault="003B2CFF">
      <w:r>
        <w:t>ЧС</w:t>
      </w:r>
      <w:r>
        <w:tab/>
        <w:t>– чрезвычайная ситуация</w:t>
      </w:r>
    </w:p>
    <w:p w:rsidR="00FA1F4E" w:rsidRDefault="003B2CFF">
      <w:r>
        <w:t>шт.</w:t>
      </w:r>
      <w:r>
        <w:tab/>
        <w:t>– штук</w:t>
      </w:r>
    </w:p>
    <w:p w:rsidR="00FA1F4E" w:rsidRDefault="00FA1F4E"/>
    <w:p w:rsidR="00FA1F4E" w:rsidRDefault="003B2CFF">
      <w:r>
        <w:t>Сокращенные наименования видов населенных пунктов, элементов улично-дорожной сети и идентификационных элементов объекта адресации используются в соответствии с Перечнем, утвержденным приказом Минфина России от 5 ноября 2015 года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(приложение к Правилам сокращенного наименования адресообразующих элементов).</w:t>
      </w:r>
    </w:p>
    <w:p w:rsidR="00FA1F4E" w:rsidRDefault="00FA1F4E">
      <w:pPr>
        <w:spacing w:after="160" w:line="259" w:lineRule="auto"/>
        <w:ind w:firstLine="0"/>
        <w:jc w:val="left"/>
        <w:rPr>
          <w:rFonts w:eastAsiaTheme="majorEastAsia" w:cstheme="majorBidi"/>
          <w:b/>
          <w:szCs w:val="32"/>
        </w:rPr>
      </w:pPr>
    </w:p>
    <w:p w:rsidR="00FA1F4E" w:rsidRDefault="003B2CFF">
      <w:pPr>
        <w:pStyle w:val="1"/>
      </w:pPr>
      <w:bookmarkStart w:id="2" w:name="_Toc106831742"/>
      <w:r>
        <w:lastRenderedPageBreak/>
        <w:t>1. Введение</w:t>
      </w:r>
      <w:bookmarkEnd w:id="2"/>
    </w:p>
    <w:p w:rsidR="00FA1F4E" w:rsidRDefault="00FA1F4E">
      <w:pPr>
        <w:rPr>
          <w:b/>
        </w:rPr>
      </w:pPr>
    </w:p>
    <w:p w:rsidR="00FA1F4E" w:rsidRDefault="003B2CFF">
      <w:r>
        <w:t xml:space="preserve">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подготовлен на основании постановления главы администрации Лодейнопольского муниципального района Ленинградской области от 12 января 2022 года № 04 «О подготовке проекта внесения изменений в Генеральный план Лодейнопольского городского поселения Лодейнопольского муниципального района Ленинградской области» в виде генерального плана в новой редакции. </w:t>
      </w:r>
    </w:p>
    <w:p w:rsidR="00FA1F4E" w:rsidRDefault="003B2CFF">
      <w:r>
        <w:t>В соответствии с частью 11 статьи 9 Градостроительного кодекса Российской Федерации генеральные планы поселений утверждаются на срок не менее чем двадцать лет. Расчетный срок генерального плана: 2045 год.</w:t>
      </w:r>
    </w:p>
    <w:p w:rsidR="00FA1F4E" w:rsidRDefault="003B2CFF">
      <w:r>
        <w:t>Генеральный план Лодейнопольского городского поселения Лодейнопольского муниципального района Ленинградской области, в который вносятся изменения, утвержден Постановлением Правительства Ленинградской области от 3 декабря 2020 года № 794.</w:t>
      </w:r>
    </w:p>
    <w:p w:rsidR="00FA1F4E" w:rsidRDefault="003B2CFF">
      <w:r>
        <w:t>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 подготовлен с целью создания условий для реконструкции водоочистных сооружений, расположенных на земельных участках с кадастровыми номерами 47:06:0405001:405 и 47:06:0405001:406, а также с учетом предложений органов местного самоуправления, включая следующие изменения:</w:t>
      </w:r>
    </w:p>
    <w:p w:rsidR="00FA1F4E" w:rsidRDefault="003B2CFF">
      <w:pPr>
        <w:pStyle w:val="afff3"/>
        <w:numPr>
          <w:ilvl w:val="0"/>
          <w:numId w:val="7"/>
        </w:numPr>
        <w:spacing w:before="0" w:after="0"/>
      </w:pPr>
      <w:r>
        <w:t>внесение изменений в части изменения границы населенного пункта;</w:t>
      </w:r>
    </w:p>
    <w:p w:rsidR="00FA1F4E" w:rsidRDefault="003B2CFF">
      <w:pPr>
        <w:pStyle w:val="afff3"/>
        <w:numPr>
          <w:ilvl w:val="0"/>
          <w:numId w:val="7"/>
        </w:numPr>
        <w:spacing w:before="0" w:after="0"/>
      </w:pPr>
      <w:r>
        <w:t>внесение изменений в части уточнения границ функциональных зон и сведений о планируемых объектах местного значения поселения.</w:t>
      </w:r>
    </w:p>
    <w:p w:rsidR="00FA1F4E" w:rsidRDefault="003B2CFF">
      <w:r>
        <w:t xml:space="preserve">Подготовка генерального плана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 выполнена с учетом сведений, содержащихся в федеральной государственной информационной системе территориального планирования, сведений, предоставленных органами исполнительной власти Ленинградской области, администрацией Лодейнопольского муниципального района Ленинградской области, а также в соответствии с частью 6 статьи 9 Градостроительного кодекса Российской Федерации с учетом: </w:t>
      </w:r>
    </w:p>
    <w:p w:rsidR="00FA1F4E" w:rsidRDefault="003B2CFF">
      <w:pPr>
        <w:pStyle w:val="afff3"/>
        <w:numPr>
          <w:ilvl w:val="0"/>
          <w:numId w:val="7"/>
        </w:numPr>
        <w:spacing w:before="0" w:after="0"/>
      </w:pPr>
      <w:r>
        <w:t>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Ленинградской области, документах территориального планирования муниципальных образований;</w:t>
      </w:r>
    </w:p>
    <w:p w:rsidR="00FA1F4E" w:rsidRDefault="003B2CFF">
      <w:pPr>
        <w:pStyle w:val="afff3"/>
        <w:numPr>
          <w:ilvl w:val="0"/>
          <w:numId w:val="7"/>
        </w:numPr>
        <w:spacing w:before="0" w:after="0"/>
      </w:pPr>
      <w:r>
        <w:t>предложений органов местного самоуправления, а также заинтересованных лиц, с учетом соответствия их документам стратегического планирования Ленинградской области, Лодейнопольского муниципального района.</w:t>
      </w:r>
    </w:p>
    <w:p w:rsidR="00FA1F4E" w:rsidRDefault="003B2CFF">
      <w:r>
        <w:t>Материалы по обоснованию генерального плана включают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FA1F4E" w:rsidRDefault="003B2CFF">
      <w:r>
        <w:t>При подготовке карт использована топографическая основа (открытая цифровая модель местности) М 1:2000 (материалы переданы в установленном порядке в Фонд инженерных изысканий Ленинградской области, акт № 12/5 от 14.03.2012 года камеральной проверки топографо-геодезических работ, Управление Росреестра по Ленинградской области), а также сведения, содержащиеся в ЕГРН по состоянию на 01.05.2022, в том числе:</w:t>
      </w:r>
    </w:p>
    <w:p w:rsidR="00FA1F4E" w:rsidRDefault="003B2CFF">
      <w:pPr>
        <w:numPr>
          <w:ilvl w:val="0"/>
          <w:numId w:val="8"/>
        </w:numPr>
      </w:pPr>
      <w:r>
        <w:t>сведения о границах земельных участков;</w:t>
      </w:r>
    </w:p>
    <w:p w:rsidR="00FA1F4E" w:rsidRDefault="003B2CFF">
      <w:pPr>
        <w:numPr>
          <w:ilvl w:val="0"/>
          <w:numId w:val="8"/>
        </w:numPr>
      </w:pPr>
      <w:r>
        <w:t>сведения о границах населенных пунктов;</w:t>
      </w:r>
    </w:p>
    <w:p w:rsidR="00FA1F4E" w:rsidRDefault="003B2CFF">
      <w:pPr>
        <w:numPr>
          <w:ilvl w:val="0"/>
          <w:numId w:val="8"/>
        </w:numPr>
      </w:pPr>
      <w:r>
        <w:t>сведения о территориях объектов культурного наследия и зонах с особыми условиями использования территорий;</w:t>
      </w:r>
    </w:p>
    <w:p w:rsidR="00FA1F4E" w:rsidRDefault="003B2CFF">
      <w:pPr>
        <w:numPr>
          <w:ilvl w:val="0"/>
          <w:numId w:val="8"/>
        </w:numPr>
      </w:pPr>
      <w:r>
        <w:lastRenderedPageBreak/>
        <w:t>сведения об объектах капитального строительства (в том числе об автомобильных дорогах общего пользования, объектах инженерной инфраструктуры и иные).</w:t>
      </w:r>
    </w:p>
    <w:p w:rsidR="00FA1F4E" w:rsidRDefault="00FA1F4E"/>
    <w:p w:rsidR="00FA1F4E" w:rsidRDefault="003B2CFF">
      <w:pPr>
        <w:pStyle w:val="1"/>
      </w:pPr>
      <w:bookmarkStart w:id="3" w:name="_Toc106831743"/>
      <w:bookmarkStart w:id="4" w:name="_Toc499851228"/>
      <w:r>
        <w:lastRenderedPageBreak/>
        <w:t>2. Сведения об утвержденных документах стратегического планирования</w:t>
      </w:r>
      <w:bookmarkEnd w:id="3"/>
    </w:p>
    <w:p w:rsidR="00FA1F4E" w:rsidRDefault="00FA1F4E"/>
    <w:p w:rsidR="00FA1F4E" w:rsidRDefault="003B2CFF">
      <w:pPr>
        <w:autoSpaceDE w:val="0"/>
        <w:autoSpaceDN w:val="0"/>
        <w:adjustRightInd w:val="0"/>
      </w:pPr>
      <w:r>
        <w:t>В соответствии с частью 5.2 статьи 9 Градостроительного кодекса Российской Федерации подготовка генерального плана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 осуществляется с учетом положений стратегий социально-экономического развития муниципального образования и планов мероприятий по ее реализации,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FA1F4E" w:rsidRDefault="003B2CFF">
      <w:r>
        <w:t>При подготовке генерального плана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 учтены документы стратегического планирования, в том числе:</w:t>
      </w:r>
    </w:p>
    <w:p w:rsidR="00FA1F4E" w:rsidRDefault="003B2CFF">
      <w:pPr>
        <w:pStyle w:val="afff"/>
        <w:numPr>
          <w:ilvl w:val="0"/>
          <w:numId w:val="9"/>
        </w:numPr>
        <w:autoSpaceDE w:val="0"/>
        <w:autoSpaceDN w:val="0"/>
        <w:adjustRightInd w:val="0"/>
      </w:pPr>
      <w:r>
        <w:t>Стратегия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w:t>
      </w:r>
    </w:p>
    <w:p w:rsidR="00FA1F4E" w:rsidRDefault="003B2CFF">
      <w:pPr>
        <w:pStyle w:val="afff"/>
        <w:numPr>
          <w:ilvl w:val="0"/>
          <w:numId w:val="9"/>
        </w:numPr>
        <w:autoSpaceDE w:val="0"/>
        <w:autoSpaceDN w:val="0"/>
        <w:adjustRightInd w:val="0"/>
      </w:pPr>
      <w:r>
        <w:t>национальные проекты: «Образование», «Здравоохранение», «Демография», «Культура», «Безопасные и качественные автомобильные дороги», «Жилье и городская среда», «Экология», «Малое и среднее предпринимательство», «Цифровая экономика», «Производительность труда»;</w:t>
      </w:r>
    </w:p>
    <w:p w:rsidR="00FA1F4E" w:rsidRDefault="003B2CFF">
      <w:pPr>
        <w:pStyle w:val="afff"/>
        <w:numPr>
          <w:ilvl w:val="0"/>
          <w:numId w:val="9"/>
        </w:numPr>
        <w:autoSpaceDE w:val="0"/>
        <w:autoSpaceDN w:val="0"/>
        <w:adjustRightInd w:val="0"/>
        <w:rPr>
          <w:rFonts w:cs="Times New Roman"/>
          <w:szCs w:val="24"/>
        </w:rPr>
      </w:pPr>
      <w:r>
        <w:t>Стратегия социально-экономического развития Ленинградской области до 2030 года, утвержденная областным законом Ленинградской области от 8 августа 2016 года № 76-оз (с изменениями и дополнениями, в редакции областного закона Ленинградской области от 19 декабря 2019 года № 100-оз);</w:t>
      </w:r>
    </w:p>
    <w:p w:rsidR="00FA1F4E" w:rsidRDefault="003B2CFF">
      <w:pPr>
        <w:pStyle w:val="afff"/>
        <w:numPr>
          <w:ilvl w:val="0"/>
          <w:numId w:val="9"/>
        </w:numPr>
        <w:autoSpaceDE w:val="0"/>
        <w:autoSpaceDN w:val="0"/>
        <w:adjustRightInd w:val="0"/>
        <w:rPr>
          <w:rFonts w:cs="Times New Roman"/>
          <w:szCs w:val="24"/>
        </w:rPr>
      </w:pPr>
      <w:r>
        <w:rPr>
          <w:rFonts w:cs="Times New Roman"/>
          <w:szCs w:val="24"/>
        </w:rPr>
        <w:t xml:space="preserve">Стратегия социально-экономического развития муниципального образования Лодейнопольский муниципальный район Ленинградской области на период до 2030 года, утвержденная решением совета депутатов муниципального образования Лодейнопольский муниципальный район Ленинградской области от 20 ноября 2018 года № 334. </w:t>
      </w:r>
    </w:p>
    <w:p w:rsidR="00FA1F4E" w:rsidRDefault="00FA1F4E">
      <w:pPr>
        <w:autoSpaceDE w:val="0"/>
        <w:autoSpaceDN w:val="0"/>
        <w:adjustRightInd w:val="0"/>
        <w:rPr>
          <w:rFonts w:cs="Times New Roman"/>
          <w:szCs w:val="24"/>
          <w:lang w:eastAsia="ru-RU"/>
        </w:rPr>
      </w:pPr>
    </w:p>
    <w:p w:rsidR="00FA1F4E" w:rsidRDefault="003B2CFF">
      <w:pPr>
        <w:autoSpaceDE w:val="0"/>
        <w:autoSpaceDN w:val="0"/>
        <w:adjustRightInd w:val="0"/>
        <w:rPr>
          <w:rFonts w:cs="Times New Roman"/>
          <w:szCs w:val="24"/>
        </w:rPr>
      </w:pPr>
      <w:r>
        <w:rPr>
          <w:rFonts w:cs="Times New Roman"/>
          <w:szCs w:val="24"/>
        </w:rPr>
        <w:t>В соответствии со Стратегией социально-экономического развития Ленинградской области до 2030 года установлены принципы управления отдельными территориями Ленинградской области и меры региональной пространственной политики, в рамках которых территория г. Лодейное Поле включена в следующие группы (зоны):</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 xml:space="preserve">точка роста; </w:t>
      </w:r>
    </w:p>
    <w:p w:rsidR="00FA1F4E" w:rsidRDefault="003B2CFF">
      <w:pPr>
        <w:pStyle w:val="afff"/>
        <w:numPr>
          <w:ilvl w:val="0"/>
          <w:numId w:val="10"/>
        </w:numPr>
        <w:autoSpaceDE w:val="0"/>
        <w:autoSpaceDN w:val="0"/>
        <w:adjustRightInd w:val="0"/>
      </w:pPr>
      <w:r>
        <w:rPr>
          <w:rFonts w:cs="Times New Roman"/>
          <w:szCs w:val="24"/>
        </w:rPr>
        <w:t xml:space="preserve">малые агломерации «Лодейное Поле – Подпорожье» с </w:t>
      </w:r>
      <w:r>
        <w:rPr>
          <w:rFonts w:cs="Times New Roman"/>
        </w:rPr>
        <w:t>созданием опорных центров реализации кластерной политики: лесозаготовка и деревообработка, охрана окружающей среды, судоремонт;</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исторические поселения регионального значения с установлением особых требований к видам разрешенного использования земельных участков применительно к территории потенциального исторического поселения – г. Лодейное Поле;</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к зоне равновесия – акцент на диверсификацию экономики населенных пунктов, выделенных как потенциальные центры роста удаленных территорий: г. Лодейное Поле – реализация инвестиционных проектов транспортной инфраструктуры, деревообрабатывающей промышленности, туризма и рекреационной деятельности, формирования центра системы экопоселений.</w:t>
      </w:r>
    </w:p>
    <w:p w:rsidR="00FA1F4E" w:rsidRDefault="00FA1F4E">
      <w:pPr>
        <w:autoSpaceDE w:val="0"/>
        <w:autoSpaceDN w:val="0"/>
        <w:adjustRightInd w:val="0"/>
        <w:ind w:firstLine="0"/>
        <w:rPr>
          <w:rFonts w:cs="Times New Roman"/>
          <w:szCs w:val="24"/>
        </w:rPr>
      </w:pPr>
      <w:bookmarkStart w:id="5" w:name="_Toc106831744"/>
    </w:p>
    <w:p w:rsidR="00FA1F4E" w:rsidRDefault="003B2CFF" w:rsidP="00891547">
      <w:pPr>
        <w:keepNext/>
        <w:autoSpaceDE w:val="0"/>
        <w:autoSpaceDN w:val="0"/>
        <w:adjustRightInd w:val="0"/>
        <w:ind w:firstLine="0"/>
        <w:jc w:val="center"/>
        <w:rPr>
          <w:rFonts w:cs="Times New Roman"/>
          <w:szCs w:val="24"/>
        </w:rPr>
      </w:pPr>
      <w:r>
        <w:rPr>
          <w:rFonts w:cs="Times New Roman"/>
          <w:szCs w:val="24"/>
        </w:rPr>
        <w:t>Рисунок 1. Фрагмент карты Зонирование территорий Ленинградской области (материалы Стратегии социально-экономического развития Ленинградской области до 2030 года)</w:t>
      </w:r>
    </w:p>
    <w:p w:rsidR="00FA1F4E" w:rsidRDefault="00FA1F4E" w:rsidP="00891547">
      <w:pPr>
        <w:keepNext/>
        <w:autoSpaceDE w:val="0"/>
        <w:autoSpaceDN w:val="0"/>
        <w:adjustRightInd w:val="0"/>
        <w:ind w:firstLine="0"/>
        <w:jc w:val="center"/>
        <w:rPr>
          <w:rFonts w:cs="Times New Roman"/>
          <w:szCs w:val="24"/>
        </w:rPr>
      </w:pPr>
    </w:p>
    <w:p w:rsidR="00FA1F4E" w:rsidRDefault="00595864" w:rsidP="00891547">
      <w:pPr>
        <w:keepNext/>
        <w:autoSpaceDE w:val="0"/>
        <w:autoSpaceDN w:val="0"/>
        <w:adjustRightInd w:val="0"/>
        <w:ind w:firstLine="0"/>
        <w:jc w:val="center"/>
        <w:rPr>
          <w:rFonts w:cs="Times New Roman"/>
          <w:szCs w:val="24"/>
        </w:rPr>
      </w:pPr>
      <w:r>
        <w:rPr>
          <w:rFonts w:cs="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13pt">
            <v:imagedata r:id="rId8" o:title="сэр_ло"/>
          </v:shape>
        </w:pict>
      </w:r>
    </w:p>
    <w:p w:rsidR="00FA1F4E" w:rsidRDefault="00FA1F4E">
      <w:pPr>
        <w:autoSpaceDE w:val="0"/>
        <w:autoSpaceDN w:val="0"/>
        <w:adjustRightInd w:val="0"/>
        <w:rPr>
          <w:rFonts w:cs="Times New Roman"/>
          <w:szCs w:val="24"/>
        </w:rPr>
      </w:pPr>
    </w:p>
    <w:p w:rsidR="00FA1F4E" w:rsidRDefault="003B2CFF">
      <w:pPr>
        <w:autoSpaceDE w:val="0"/>
        <w:autoSpaceDN w:val="0"/>
        <w:adjustRightInd w:val="0"/>
        <w:rPr>
          <w:rFonts w:cs="Times New Roman"/>
          <w:szCs w:val="24"/>
        </w:rPr>
      </w:pPr>
      <w:r>
        <w:rPr>
          <w:rFonts w:cs="Times New Roman"/>
          <w:szCs w:val="24"/>
        </w:rPr>
        <w:t>В соответствии со Стратегией социально-экономического развития муниципального образования Лодейнопольский муниципальный район Ленинградской области на период до 2030 года главная стратегическая цель развития Лодейнопольского муниципального района – создание условий для комфортного и благополучного проживания людей путем повышения качества жизни к 2030 году на основе эффективного социально-ориентированного типа экономического развития.</w:t>
      </w:r>
    </w:p>
    <w:p w:rsidR="00FA1F4E" w:rsidRDefault="003B2CFF">
      <w:pPr>
        <w:autoSpaceDE w:val="0"/>
        <w:autoSpaceDN w:val="0"/>
        <w:adjustRightInd w:val="0"/>
        <w:rPr>
          <w:rFonts w:cs="Times New Roman"/>
          <w:szCs w:val="24"/>
        </w:rPr>
      </w:pPr>
      <w:r>
        <w:rPr>
          <w:rFonts w:cs="Times New Roman"/>
          <w:szCs w:val="24"/>
        </w:rPr>
        <w:t>Стратегическая цель может быть достигнута путем реализации мероприятий по основным направлениям, сгруппированным в два блока приоритетов:</w:t>
      </w:r>
    </w:p>
    <w:p w:rsidR="00FA1F4E" w:rsidRDefault="003B2CFF">
      <w:pPr>
        <w:pStyle w:val="afff"/>
        <w:numPr>
          <w:ilvl w:val="0"/>
          <w:numId w:val="11"/>
        </w:numPr>
        <w:autoSpaceDE w:val="0"/>
        <w:autoSpaceDN w:val="0"/>
        <w:adjustRightInd w:val="0"/>
        <w:rPr>
          <w:rFonts w:cs="Times New Roman"/>
          <w:szCs w:val="24"/>
        </w:rPr>
      </w:pPr>
      <w:r>
        <w:rPr>
          <w:rFonts w:cs="Times New Roman"/>
          <w:szCs w:val="24"/>
        </w:rPr>
        <w:t>Блок приоритетов «Обеспечение экономического роста»:</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«Развитие стратегически важных отраслей хозяйственного комплекса»;</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«Развитие малого и среднего предпринимательства»;</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«Туризм».</w:t>
      </w:r>
    </w:p>
    <w:p w:rsidR="00FA1F4E" w:rsidRDefault="003B2CFF">
      <w:pPr>
        <w:pStyle w:val="afff"/>
        <w:numPr>
          <w:ilvl w:val="0"/>
          <w:numId w:val="11"/>
        </w:numPr>
        <w:autoSpaceDE w:val="0"/>
        <w:autoSpaceDN w:val="0"/>
        <w:adjustRightInd w:val="0"/>
        <w:rPr>
          <w:rFonts w:cs="Times New Roman"/>
          <w:szCs w:val="24"/>
        </w:rPr>
      </w:pPr>
      <w:r>
        <w:rPr>
          <w:rFonts w:cs="Times New Roman"/>
          <w:szCs w:val="24"/>
        </w:rPr>
        <w:t>Блок приоритетов «Комфортная среда для жизни и работы»:</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«Развитие жилищно-коммунального комплекса»;</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«Инфраструктурное развитие территории муниципального образования»;</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«Развитие транспортной системы муниципального образования»;</w:t>
      </w:r>
    </w:p>
    <w:p w:rsidR="00FA1F4E" w:rsidRDefault="003B2CFF">
      <w:pPr>
        <w:pStyle w:val="afff"/>
        <w:numPr>
          <w:ilvl w:val="0"/>
          <w:numId w:val="10"/>
        </w:numPr>
        <w:autoSpaceDE w:val="0"/>
        <w:autoSpaceDN w:val="0"/>
        <w:adjustRightInd w:val="0"/>
        <w:rPr>
          <w:rFonts w:cs="Times New Roman"/>
          <w:szCs w:val="24"/>
        </w:rPr>
      </w:pPr>
      <w:r>
        <w:rPr>
          <w:rFonts w:cs="Times New Roman"/>
          <w:szCs w:val="24"/>
        </w:rPr>
        <w:t>«Развитие социальной сферы и сферы услуг» (образование, здравоохранение, культура, физическая культура и спорт, социальная защита).</w:t>
      </w:r>
    </w:p>
    <w:p w:rsidR="00FA1F4E" w:rsidRDefault="003B2CFF">
      <w:pPr>
        <w:autoSpaceDE w:val="0"/>
        <w:autoSpaceDN w:val="0"/>
        <w:adjustRightInd w:val="0"/>
        <w:rPr>
          <w:rFonts w:cs="Times New Roman"/>
          <w:szCs w:val="24"/>
        </w:rPr>
      </w:pPr>
      <w:r>
        <w:rPr>
          <w:rFonts w:cs="Times New Roman"/>
          <w:szCs w:val="24"/>
        </w:rPr>
        <w:t>В рамках основного направления «Развитие жилищно-коммунального комплекса» одним из ключевых мероприятий является обеспечение бесперебойного коммунального обслуживания населения, содержание объектов жилищно-коммунального хозяйства (мест общего пользования, систем водоснабжения, теплоснабжения, электроснабжения, муниципального жилищного фонда) в состоянии, соответствующем установленным нормам и нормативам.</w:t>
      </w:r>
    </w:p>
    <w:p w:rsidR="00FA1F4E" w:rsidRDefault="003B2CFF">
      <w:pPr>
        <w:pStyle w:val="1"/>
      </w:pPr>
      <w:r>
        <w:lastRenderedPageBreak/>
        <w:t xml:space="preserve">3. </w:t>
      </w:r>
      <w:bookmarkEnd w:id="4"/>
      <w:r>
        <w:t>Общие сведения о территории, применительно к которой вносятся изменения в генеральный план</w:t>
      </w:r>
      <w:bookmarkEnd w:id="5"/>
    </w:p>
    <w:p w:rsidR="00FA1F4E" w:rsidRDefault="00FA1F4E"/>
    <w:p w:rsidR="00FA1F4E" w:rsidRDefault="003B2CFF">
      <w:r>
        <w:t>Территория, применительно к которой вносятся изменения в генеральный план, представлена территорией города Лодейное Поле (сведения о границе населенного пункта внесены в ЕГРН, реестровый номер 47:06-4.10), а также земельными участками с кадастровыми номерами 47:06:0405001:405 и 47:06:0405001:406, которые планируется включить в границу города.</w:t>
      </w:r>
    </w:p>
    <w:p w:rsidR="00FA1F4E" w:rsidRDefault="003B2CFF">
      <w:r>
        <w:t xml:space="preserve">Город Лодейное Поле является административным центром Лодейнопольского городского поселения и административным центром Лодейнопольского муниципального района. </w:t>
      </w:r>
    </w:p>
    <w:p w:rsidR="00FA1F4E" w:rsidRDefault="00FA1F4E"/>
    <w:p w:rsidR="00FA1F4E" w:rsidRDefault="003B2CFF">
      <w:pPr>
        <w:pStyle w:val="20"/>
      </w:pPr>
      <w:bookmarkStart w:id="6" w:name="_Toc106831745"/>
      <w:r>
        <w:t>3.1. Анализ реализации документов территориального планирования</w:t>
      </w:r>
      <w:bookmarkEnd w:id="6"/>
    </w:p>
    <w:p w:rsidR="00FA1F4E" w:rsidRDefault="00FA1F4E"/>
    <w:p w:rsidR="00FA1F4E" w:rsidRDefault="003B2CFF">
      <w:r>
        <w:t>Генеральный план Лодейнопольского городского поселения Лодейнопольского муниципального района Ленинградской области в действующей редакции утвержден постановлением Правительства Ленинградской области от 3 декабря 2020 года № 794.</w:t>
      </w:r>
    </w:p>
    <w:p w:rsidR="00FA1F4E" w:rsidRDefault="003B2CFF">
      <w:r>
        <w:t xml:space="preserve">Правила землепользования и застройки Лодейнопольского городского поселения Лодейнопольского муниципального района Ленинградской области утверждены приказом комитета градостроительной политики Ленинградской области от 26 марта 2021 года № 32. </w:t>
      </w:r>
    </w:p>
    <w:p w:rsidR="00FA1F4E" w:rsidRDefault="003B2CFF">
      <w:r>
        <w:t>В соответствии с частью 1 статьи 26 Градостроительного кодекса Российской Федерации реализация документов территориального планирования осуществляется путем:</w:t>
      </w:r>
    </w:p>
    <w:p w:rsidR="00FA1F4E" w:rsidRDefault="003B2CFF">
      <w:pPr>
        <w:pStyle w:val="afff"/>
        <w:numPr>
          <w:ilvl w:val="0"/>
          <w:numId w:val="12"/>
        </w:numPr>
      </w:pPr>
      <w:r>
        <w:t>подготовки и утверждения документации по планировке территории в соответствии с документами территориального планирования;</w:t>
      </w:r>
    </w:p>
    <w:p w:rsidR="00FA1F4E" w:rsidRDefault="003B2CFF">
      <w:pPr>
        <w:pStyle w:val="afff"/>
        <w:numPr>
          <w:ilvl w:val="0"/>
          <w:numId w:val="12"/>
        </w:numPr>
      </w:pPr>
      <w:r>
        <w:t>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rsidR="00FA1F4E" w:rsidRDefault="003B2CFF">
      <w:pPr>
        <w:pStyle w:val="afff"/>
        <w:numPr>
          <w:ilvl w:val="0"/>
          <w:numId w:val="12"/>
        </w:numPr>
      </w:pPr>
      <w:r>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FA1F4E" w:rsidRDefault="003B2CFF">
      <w: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программами комплексного развития транспортной инфраструктуры поселений, программами комплексного развития социальной инфраструктуры поселений и (при наличии) инвестиционными программами организаций коммунального комплекса.</w:t>
      </w:r>
    </w:p>
    <w:p w:rsidR="00FA1F4E" w:rsidRDefault="003B2CFF">
      <w:r>
        <w:t>Решения о резервировании земель в границах Лодейнопольского городского поселения не принимались. На основании ранее утвержденного генерального плана документация по планировке территории не разрабатывалась. На основе действующего генерального плана утверждены программа комплексного развития систем коммунальной инфраструктуры поселения, программа комплексного развития транспортной инфраструктуры поселения, программа комплексного развития социальной инфраструктуры поселения.</w:t>
      </w:r>
    </w:p>
    <w:p w:rsidR="00FA1F4E" w:rsidRDefault="003B2CFF">
      <w:r>
        <w:t>В соответствии со сведениями, предоставленными отделом жилищно-коммунального хозяйства администрации Лодейнопольского муниципального района, в настоящее время объект «Распределительный газопровод по Ленинградскому ш., ул. Ленина, пер. Паромный, Почтовый г. Лодейное Поле», предусмотренный действующим генеральным планом поселения, построен и зарегистрирован (собственность Лодейнопольского городского поселения).</w:t>
      </w:r>
    </w:p>
    <w:p w:rsidR="00FA1F4E" w:rsidRDefault="00FA1F4E"/>
    <w:p w:rsidR="00FA1F4E" w:rsidRDefault="003B2CFF">
      <w:pPr>
        <w:pStyle w:val="20"/>
      </w:pPr>
      <w:bookmarkStart w:id="7" w:name="_Toc106831746"/>
      <w:r>
        <w:br w:type="column"/>
      </w:r>
      <w:r>
        <w:lastRenderedPageBreak/>
        <w:t>3.2. Современное использование территории. Границы лесничеств</w:t>
      </w:r>
      <w:bookmarkEnd w:id="7"/>
    </w:p>
    <w:p w:rsidR="00FA1F4E" w:rsidRDefault="00FA1F4E"/>
    <w:p w:rsidR="00FA1F4E" w:rsidRDefault="003B2CFF">
      <w:r>
        <w:t>Город Лодейное Поле расположен на берегу реки Свирь вблизи от автомобильной дороги федерального значения</w:t>
      </w:r>
      <w:r>
        <w:rPr>
          <w:rFonts w:cs="Times New Roman"/>
          <w:szCs w:val="24"/>
        </w:rPr>
        <w:t xml:space="preserve"> Р-21 «Кола» Санкт-Петербург – Петрозаводск – Мурманск – Печенга – граница с Королевством Норвегия</w:t>
      </w:r>
      <w:r>
        <w:t xml:space="preserve">. Общая численность населения г. Лодейное Поле по состоянию на 01.01.2022 составляет 18558 человек. </w:t>
      </w:r>
    </w:p>
    <w:p w:rsidR="00FA1F4E" w:rsidRDefault="003B2CFF">
      <w:r>
        <w:rPr>
          <w:rFonts w:cs="Times New Roman"/>
          <w:szCs w:val="24"/>
        </w:rPr>
        <w:t xml:space="preserve">Рассматриваемая территория находится в умеренном климатическим поясе с умеренно-континентальным климатом. Рельеф представлен преимущественно слабоволнистой равниной. </w:t>
      </w:r>
      <w:r>
        <w:rPr>
          <w:rFonts w:eastAsia="Calibri" w:cs="Times New Roman"/>
          <w:szCs w:val="24"/>
          <w:lang w:eastAsia="ru-RU"/>
        </w:rPr>
        <w:t>Река Свирь, протекающая вдоль северной границы города Лодейное Поле, относится к Ладожскому водному бассейну и является одной из составных частей Волго-Балтийского водного пути, соединяющего р. Волга с Балтийским морем.</w:t>
      </w:r>
    </w:p>
    <w:p w:rsidR="00FA1F4E" w:rsidRDefault="003B2CFF">
      <w:pPr>
        <w:rPr>
          <w:rFonts w:cs="Times New Roman"/>
          <w:szCs w:val="24"/>
          <w:lang w:eastAsia="ru-RU"/>
        </w:rPr>
      </w:pPr>
      <w:r>
        <w:t>Жилищный фонд города Лодейное Поле представлен смешанным типом застройки: застройка индивидуальными жилыми домами, малоэтажными жилыми домами и среднеэтажными жилыми домами. В северной-западной части города на берегу реки Свирь сформировалось общественное пространство с благоустроенными зонами отдыха населения (парк Свирская Победа).</w:t>
      </w:r>
      <w:r>
        <w:rPr>
          <w:rFonts w:cs="Times New Roman"/>
          <w:szCs w:val="24"/>
          <w:lang w:eastAsia="ru-RU"/>
        </w:rPr>
        <w:t xml:space="preserve"> Магистральная железная дорога делит территорию города Лодейное Поле на две части: северную и южную, транспортные связи между которыми осуществляются только по автомобильной дороге регионального значения </w:t>
      </w:r>
      <w:r>
        <w:t>Лодейное Поле – Тихвин – Будогощь – Чудово.</w:t>
      </w:r>
    </w:p>
    <w:p w:rsidR="00FA1F4E" w:rsidRDefault="003B2CFF">
      <w:r>
        <w:t>На территории города расположены промышленные зоны, преимущественно в западной и восточной частях города, а также две промышленные зоны сформировались в северной части города, отдельные предприятия расположены в центральной части городской застройки. К востоку от автомобильной дороги федерального значения Р-21 «Кола» расположена анклавная территория, включенная в границу города Лодейное Поле, которая представлена территорией объектов отдыха и туризма.</w:t>
      </w:r>
    </w:p>
    <w:p w:rsidR="00FA1F4E" w:rsidRDefault="003B2CFF">
      <w:pPr>
        <w:rPr>
          <w:rFonts w:cs="Times New Roman"/>
          <w:szCs w:val="24"/>
          <w:lang w:eastAsia="ru-RU"/>
        </w:rPr>
      </w:pPr>
      <w:r>
        <w:t xml:space="preserve">Город Лодейное Поле является транспортным узлом регионального значения. </w:t>
      </w:r>
      <w:r>
        <w:rPr>
          <w:rFonts w:cs="Times New Roman"/>
          <w:szCs w:val="24"/>
          <w:lang w:eastAsia="ru-RU"/>
        </w:rPr>
        <w:t xml:space="preserve">По его территории проходит участок электрифицированной железнодорожной магистрали «Санкт-Петербург – Мга – Волховстрой – Лодейное Поле – Подпорожье – Петрозаводск – Мурманск» и примыкающая к ней железнодорожная линия «Лодейное Поле – Олонец – Сортавала – Приозерск – Санкт-Петербург». Волховстроевская железнодорожная линия является одной из самых грузонапряженных в Ленинградской области. Преобладающее движение транзитных грузов </w:t>
      </w:r>
      <w:r>
        <w:rPr>
          <w:rFonts w:cs="Times New Roman"/>
          <w:szCs w:val="24"/>
        </w:rPr>
        <w:t>–</w:t>
      </w:r>
      <w:r>
        <w:rPr>
          <w:rFonts w:cs="Times New Roman"/>
          <w:szCs w:val="24"/>
          <w:lang w:eastAsia="ru-RU"/>
        </w:rPr>
        <w:t xml:space="preserve"> в сторону г. Санкт-Петербурга. Железнодорожная линия «Лодейное Поле – Олонец – Сортавала – Приозерск – Санкт-Петербург» малонагруженная. В городе Лодейное Поле расположены железнодорожная станция Лодейное Поле (II класса), которая включает здание железнодорожного вокзала и две пассажирские платформы, и грузовая узловая железнодорожная станция. Железнодорожная станция в городе Лодейное Поле является узлом трёх направлений: на Санкт-Петербург, Мурманск и Янисъярви. </w:t>
      </w:r>
    </w:p>
    <w:p w:rsidR="00FA1F4E" w:rsidRDefault="003B2CFF">
      <w:pPr>
        <w:rPr>
          <w:rFonts w:cs="Times New Roman"/>
          <w:szCs w:val="24"/>
          <w:lang w:eastAsia="ru-RU"/>
        </w:rPr>
      </w:pPr>
      <w:r>
        <w:t xml:space="preserve">Территория города Лодейное Поле расположена на </w:t>
      </w:r>
      <w:r>
        <w:rPr>
          <w:rFonts w:cs="Times New Roman"/>
          <w:szCs w:val="24"/>
        </w:rPr>
        <w:t>автомобильной дороге федерального значения Р-21 «Кола» Санкт-Петербург – Петрозаводск – Мурманск – Печенга – граница с Королевством Норвегия, в том числе улично-дорожная сеть города имеет выезды (примыкания) на</w:t>
      </w:r>
      <w:r>
        <w:rPr>
          <w:rFonts w:cs="Times New Roman"/>
          <w:szCs w:val="24"/>
          <w:lang w:eastAsia="ru-RU"/>
        </w:rPr>
        <w:t xml:space="preserve"> автомобильную дорогу федерального значения </w:t>
      </w:r>
      <w:r>
        <w:rPr>
          <w:rFonts w:cs="Times New Roman"/>
          <w:szCs w:val="24"/>
        </w:rPr>
        <w:t>Р-21 «Кола»</w:t>
      </w:r>
      <w:r>
        <w:rPr>
          <w:rFonts w:cs="Times New Roman"/>
          <w:szCs w:val="24"/>
          <w:lang w:eastAsia="ru-RU"/>
        </w:rPr>
        <w:t>:</w:t>
      </w:r>
    </w:p>
    <w:p w:rsidR="00FA1F4E" w:rsidRDefault="003B2CFF">
      <w:pPr>
        <w:pStyle w:val="afff"/>
        <w:numPr>
          <w:ilvl w:val="0"/>
          <w:numId w:val="13"/>
        </w:numPr>
        <w:rPr>
          <w:rFonts w:cs="Times New Roman"/>
          <w:szCs w:val="24"/>
          <w:lang w:eastAsia="ru-RU"/>
        </w:rPr>
      </w:pPr>
      <w:r>
        <w:rPr>
          <w:rFonts w:cs="Times New Roman"/>
          <w:szCs w:val="24"/>
          <w:lang w:eastAsia="ru-RU"/>
        </w:rPr>
        <w:t>Подъезд № 1, III технической категории, начало км 212+050 (0+000), заканчивается км 12+167. В границах города км 9+826 – км 12+167, протяженностью 2,341 км;</w:t>
      </w:r>
    </w:p>
    <w:p w:rsidR="00FA1F4E" w:rsidRDefault="003B2CFF">
      <w:pPr>
        <w:pStyle w:val="afff"/>
        <w:numPr>
          <w:ilvl w:val="0"/>
          <w:numId w:val="13"/>
        </w:numPr>
        <w:rPr>
          <w:rFonts w:cs="Times New Roman"/>
          <w:szCs w:val="24"/>
          <w:lang w:eastAsia="ru-RU"/>
        </w:rPr>
      </w:pPr>
      <w:r>
        <w:rPr>
          <w:rFonts w:cs="Times New Roman"/>
          <w:szCs w:val="24"/>
          <w:lang w:eastAsia="ru-RU"/>
        </w:rPr>
        <w:t>Подъезд № 2, III технической категории, начало км 230+503 (0+000), заканчивается км 0+484 (ул. Республиканский тракт), протяженность в границах города 0,484 км, а также участок дороги, введенный в эксплуатацию в 2000 году «Обход г. Лодейное Поле», проходящий южнее города.</w:t>
      </w:r>
    </w:p>
    <w:p w:rsidR="00FA1F4E" w:rsidRDefault="003B2CFF">
      <w:pPr>
        <w:rPr>
          <w:rFonts w:cs="Times New Roman"/>
          <w:szCs w:val="24"/>
          <w:lang w:eastAsia="ru-RU"/>
        </w:rPr>
      </w:pPr>
      <w:r>
        <w:rPr>
          <w:rFonts w:cs="Times New Roman"/>
          <w:szCs w:val="24"/>
          <w:lang w:eastAsia="ru-RU"/>
        </w:rPr>
        <w:t xml:space="preserve">В сторону восточной анклавной части города от автомобильной дороги Р-21 «Кола» начинается автомобильная дорога федерального значения А-215 Лодейное Поле </w:t>
      </w:r>
      <w:r>
        <w:rPr>
          <w:rFonts w:cs="Times New Roman"/>
          <w:szCs w:val="24"/>
        </w:rPr>
        <w:t>–</w:t>
      </w:r>
      <w:r>
        <w:rPr>
          <w:rFonts w:cs="Times New Roman"/>
          <w:szCs w:val="24"/>
          <w:lang w:eastAsia="ru-RU"/>
        </w:rPr>
        <w:t xml:space="preserve"> Вытегра </w:t>
      </w:r>
      <w:r>
        <w:rPr>
          <w:rFonts w:cs="Times New Roman"/>
          <w:szCs w:val="24"/>
        </w:rPr>
        <w:t>–</w:t>
      </w:r>
      <w:r>
        <w:rPr>
          <w:rFonts w:cs="Times New Roman"/>
          <w:szCs w:val="24"/>
          <w:lang w:eastAsia="ru-RU"/>
        </w:rPr>
        <w:t xml:space="preserve"> Прокшино </w:t>
      </w:r>
      <w:r>
        <w:rPr>
          <w:rFonts w:cs="Times New Roman"/>
          <w:szCs w:val="24"/>
        </w:rPr>
        <w:t>–</w:t>
      </w:r>
      <w:r>
        <w:rPr>
          <w:rFonts w:cs="Times New Roman"/>
          <w:szCs w:val="24"/>
          <w:lang w:eastAsia="ru-RU"/>
        </w:rPr>
        <w:t xml:space="preserve"> Плесецк </w:t>
      </w:r>
      <w:r>
        <w:rPr>
          <w:rFonts w:cs="Times New Roman"/>
          <w:szCs w:val="24"/>
        </w:rPr>
        <w:t>–</w:t>
      </w:r>
      <w:r>
        <w:rPr>
          <w:rFonts w:cs="Times New Roman"/>
          <w:szCs w:val="24"/>
          <w:lang w:eastAsia="ru-RU"/>
        </w:rPr>
        <w:t xml:space="preserve"> Брин-Наволок.</w:t>
      </w:r>
    </w:p>
    <w:p w:rsidR="00FA1F4E" w:rsidRDefault="003B2CFF">
      <w:pPr>
        <w:rPr>
          <w:rFonts w:cs="Times New Roman"/>
          <w:szCs w:val="24"/>
          <w:lang w:eastAsia="ru-RU"/>
        </w:rPr>
      </w:pPr>
      <w:r>
        <w:rPr>
          <w:rFonts w:cs="Times New Roman"/>
          <w:szCs w:val="24"/>
          <w:lang w:eastAsia="ru-RU"/>
        </w:rPr>
        <w:t xml:space="preserve">По территории города </w:t>
      </w:r>
      <w:r>
        <w:t>Лодейное Поле проходит участок а</w:t>
      </w:r>
      <w:r>
        <w:rPr>
          <w:rFonts w:cs="Times New Roman"/>
          <w:szCs w:val="24"/>
          <w:lang w:eastAsia="ru-RU"/>
        </w:rPr>
        <w:t xml:space="preserve">втомобильной дороги общего пользования регионального значения </w:t>
      </w:r>
      <w:r>
        <w:t>Лодейное Поле – Тихвин – Будогощь – Чудово (</w:t>
      </w:r>
      <w:r>
        <w:rPr>
          <w:rFonts w:cs="Times New Roman"/>
          <w:szCs w:val="24"/>
          <w:lang w:val="en-US" w:eastAsia="ru-RU"/>
        </w:rPr>
        <w:t>III</w:t>
      </w:r>
      <w:r>
        <w:rPr>
          <w:rFonts w:cs="Times New Roman"/>
          <w:szCs w:val="24"/>
          <w:lang w:eastAsia="ru-RU"/>
        </w:rPr>
        <w:t xml:space="preserve"> технической категории</w:t>
      </w:r>
      <w:r>
        <w:t>)</w:t>
      </w:r>
      <w:r>
        <w:rPr>
          <w:rFonts w:cs="Times New Roman"/>
          <w:szCs w:val="24"/>
          <w:lang w:eastAsia="ru-RU"/>
        </w:rPr>
        <w:t xml:space="preserve"> в соответствии с постановлением Правительства Ленинградской области </w:t>
      </w:r>
      <w:r>
        <w:rPr>
          <w:rFonts w:cs="Times New Roman"/>
          <w:szCs w:val="24"/>
          <w:lang w:eastAsia="ru-RU"/>
        </w:rPr>
        <w:lastRenderedPageBreak/>
        <w:t>от 27 ноября 2007 года № 294 «Об утверждении Перечня автомобильных дорог общего пользования регионального значения» (с изменениями).</w:t>
      </w:r>
    </w:p>
    <w:p w:rsidR="00FA1F4E" w:rsidRDefault="003B2CFF">
      <w:pPr>
        <w:rPr>
          <w:rFonts w:cs="Times New Roman"/>
          <w:szCs w:val="24"/>
          <w:lang w:eastAsia="ru-RU"/>
        </w:rPr>
      </w:pPr>
      <w:r>
        <w:rPr>
          <w:rFonts w:cs="Times New Roman"/>
          <w:szCs w:val="24"/>
          <w:lang w:eastAsia="ru-RU"/>
        </w:rPr>
        <w:t>Река Свирь является судоходной (является частью Волго-Балтийского водного пути), в границах города Лодейное Поле расположена пассажирская пристань с причалом. Существовавшие ранее паромные переправы в границах города Лодейное Поле и в районе деревни Заостровье не функционируют. Осуществляются только транзитные туристические маршруты на комфортабельных пассажирских судах, расписание движения которых согласовывается и утверждается в Министерстве транспорта Российской Федерации на начало каждой навигации. Объём пассажирских перевозок составляет более 170 тыс. пассажиров в год.</w:t>
      </w:r>
    </w:p>
    <w:p w:rsidR="00FA1F4E" w:rsidRDefault="003B2CFF">
      <w:pPr>
        <w:rPr>
          <w:rFonts w:cs="Times New Roman"/>
          <w:szCs w:val="24"/>
          <w:lang w:eastAsia="ru-RU"/>
        </w:rPr>
      </w:pPr>
      <w:r>
        <w:rPr>
          <w:rFonts w:cs="Times New Roman"/>
          <w:szCs w:val="24"/>
          <w:lang w:eastAsia="ru-RU"/>
        </w:rPr>
        <w:t>В городе Лодейное Поле имеется грузовой причал ООО «МК Терминал», с которого осуществляется погрузка лесных материалов на суда.</w:t>
      </w:r>
    </w:p>
    <w:p w:rsidR="00FA1F4E" w:rsidRDefault="003B2CFF">
      <w:pPr>
        <w:rPr>
          <w:rFonts w:cs="Times New Roman"/>
          <w:szCs w:val="24"/>
        </w:rPr>
      </w:pPr>
      <w:r>
        <w:rPr>
          <w:rFonts w:cs="Times New Roman"/>
          <w:szCs w:val="24"/>
        </w:rPr>
        <w:t xml:space="preserve">К югу от города Лодейное Поле расположен бывший военный аэродром, иные объекты воздушного транспорта в границе города и на прилегающих территориях отсутствуют. В соответствии с действующим генеральным планом определена функциональная зона транспортной инфраструктуры для размещения вертолетной плошадки (юго-западнее ул. Лесная). </w:t>
      </w:r>
    </w:p>
    <w:p w:rsidR="00FA1F4E" w:rsidRDefault="003B2CFF">
      <w:pPr>
        <w:rPr>
          <w:rFonts w:cs="Times New Roman"/>
          <w:szCs w:val="24"/>
        </w:rPr>
      </w:pPr>
      <w:r>
        <w:rPr>
          <w:rFonts w:cs="Times New Roman"/>
          <w:szCs w:val="24"/>
        </w:rPr>
        <w:t>Существующая автобусная станция расположена в городе в районе железнодорожного вокзала и привокзальной площади. Место межрейсового отстоя автобусов</w:t>
      </w:r>
      <w:r>
        <w:rPr>
          <w:rFonts w:eastAsia="Calibri" w:cs="Times New Roman"/>
          <w:szCs w:val="24"/>
        </w:rPr>
        <w:t xml:space="preserve"> </w:t>
      </w:r>
      <w:r>
        <w:rPr>
          <w:rFonts w:cs="Times New Roman"/>
          <w:szCs w:val="24"/>
        </w:rPr>
        <w:t>пригородных и городского автобусных маршрутов также расположено в г. Лодейное Поле, автобусный парк состоит из 15 единиц, из них 3 автобуса осуществляют внутригородские перевозки населения. Место межрейсового отстоя автобусов междугороднего автобусного маршрута Санкт-Петербург – Лодейное Поле расположено на земельном участке автотранспортного предприятия ООО «Лодавто», автобусный парк которого состоит из 7 автобусов. Планируется расширение автобусной станции и создание автовокзала в городе Лодейное Поле.</w:t>
      </w:r>
    </w:p>
    <w:p w:rsidR="00FA1F4E" w:rsidRDefault="003B2CFF">
      <w:pPr>
        <w:rPr>
          <w:rFonts w:cs="Times New Roman"/>
          <w:szCs w:val="24"/>
        </w:rPr>
      </w:pPr>
      <w:r>
        <w:rPr>
          <w:rFonts w:cs="Times New Roman"/>
          <w:szCs w:val="24"/>
        </w:rPr>
        <w:t>В соответствии с приказом Министра обороны Российской Федерации от 9 октября 2012 года № 3193 из федеральной собственности в собственность Лодейнопольского муниципального района был передан земельный участок площадью 1227,63 га. Все объекты недвижимости, расположенные на земельном участке, за исключением аэродрома, переданы в муниципальную собственность.</w:t>
      </w:r>
    </w:p>
    <w:p w:rsidR="00FA1F4E" w:rsidRDefault="003B2CFF">
      <w:pPr>
        <w:rPr>
          <w:rFonts w:cs="Times New Roman"/>
          <w:szCs w:val="24"/>
        </w:rPr>
      </w:pPr>
      <w:r>
        <w:rPr>
          <w:rFonts w:cs="Times New Roman"/>
          <w:szCs w:val="24"/>
        </w:rPr>
        <w:t>Крупные промышленные объекты, расположенные в границах города Лодейное Поле:</w:t>
      </w:r>
    </w:p>
    <w:p w:rsidR="00FA1F4E" w:rsidRDefault="003B2CFF">
      <w:pPr>
        <w:pStyle w:val="afff"/>
        <w:numPr>
          <w:ilvl w:val="0"/>
          <w:numId w:val="14"/>
        </w:numPr>
        <w:rPr>
          <w:rFonts w:cs="Times New Roman"/>
          <w:szCs w:val="24"/>
        </w:rPr>
      </w:pPr>
      <w:r>
        <w:rPr>
          <w:rFonts w:cs="Times New Roman"/>
          <w:szCs w:val="24"/>
        </w:rPr>
        <w:t>ООО «Тимбер-Холдинг»;</w:t>
      </w:r>
    </w:p>
    <w:p w:rsidR="00FA1F4E" w:rsidRDefault="003B2CFF">
      <w:pPr>
        <w:pStyle w:val="afff"/>
        <w:numPr>
          <w:ilvl w:val="0"/>
          <w:numId w:val="14"/>
        </w:numPr>
        <w:rPr>
          <w:rFonts w:cs="Times New Roman"/>
          <w:szCs w:val="24"/>
        </w:rPr>
      </w:pPr>
      <w:r>
        <w:rPr>
          <w:rFonts w:cs="Times New Roman"/>
          <w:szCs w:val="24"/>
        </w:rPr>
        <w:t>ООО «Свирьлес»;</w:t>
      </w:r>
    </w:p>
    <w:p w:rsidR="00FA1F4E" w:rsidRDefault="003B2CFF">
      <w:pPr>
        <w:pStyle w:val="afff"/>
        <w:numPr>
          <w:ilvl w:val="0"/>
          <w:numId w:val="14"/>
        </w:numPr>
        <w:rPr>
          <w:rFonts w:cs="Times New Roman"/>
          <w:szCs w:val="24"/>
        </w:rPr>
      </w:pPr>
      <w:r>
        <w:rPr>
          <w:rFonts w:cs="Times New Roman"/>
          <w:szCs w:val="24"/>
        </w:rPr>
        <w:t>ООО «Кварта»;</w:t>
      </w:r>
    </w:p>
    <w:p w:rsidR="00FA1F4E" w:rsidRDefault="003B2CFF">
      <w:pPr>
        <w:pStyle w:val="afff"/>
        <w:numPr>
          <w:ilvl w:val="0"/>
          <w:numId w:val="14"/>
        </w:numPr>
        <w:rPr>
          <w:rFonts w:cs="Times New Roman"/>
          <w:szCs w:val="24"/>
        </w:rPr>
      </w:pPr>
      <w:r>
        <w:rPr>
          <w:rFonts w:cs="Times New Roman"/>
          <w:szCs w:val="24"/>
        </w:rPr>
        <w:t>ООО «ЦСП-Свирь»;</w:t>
      </w:r>
    </w:p>
    <w:p w:rsidR="00FA1F4E" w:rsidRDefault="003B2CFF">
      <w:pPr>
        <w:pStyle w:val="afff"/>
        <w:numPr>
          <w:ilvl w:val="0"/>
          <w:numId w:val="14"/>
        </w:numPr>
        <w:rPr>
          <w:rFonts w:cs="Times New Roman"/>
          <w:szCs w:val="24"/>
        </w:rPr>
      </w:pPr>
      <w:r>
        <w:rPr>
          <w:rFonts w:cs="Times New Roman"/>
          <w:szCs w:val="24"/>
        </w:rPr>
        <w:t>ООО «Лодейнопольский комбинат хлебобулочных и кондитерских изделий».</w:t>
      </w:r>
    </w:p>
    <w:p w:rsidR="00FA1F4E" w:rsidRDefault="003B2CFF">
      <w:pPr>
        <w:rPr>
          <w:rFonts w:cs="Times New Roman"/>
          <w:szCs w:val="24"/>
        </w:rPr>
      </w:pPr>
      <w:r>
        <w:rPr>
          <w:rFonts w:cs="Times New Roman"/>
          <w:szCs w:val="24"/>
        </w:rPr>
        <w:t xml:space="preserve">Крупные объекты отдыха и туризма, расположенные в границах города Лодейное Поле: отель «Точка на карте. Лодейное Поле», база отдыха на реке Свирь. </w:t>
      </w:r>
      <w:r>
        <w:t>При рассмотрении развития проектных направлений в туристической сфере Ленинградской области г. Лодейное Поле отмечен как подцентр в составе межрегионального туристского проекта «Серебряное ожерелье» по тематике «Петровские города».</w:t>
      </w:r>
    </w:p>
    <w:p w:rsidR="00FA1F4E" w:rsidRDefault="003B2CFF">
      <w:pPr>
        <w:rPr>
          <w:rFonts w:cs="Times New Roman"/>
          <w:szCs w:val="24"/>
        </w:rPr>
      </w:pPr>
      <w:r>
        <w:rPr>
          <w:rFonts w:cs="Times New Roman"/>
          <w:szCs w:val="24"/>
        </w:rPr>
        <w:t>Крупные объекты инженерной инфраструктуры, расположенные в границах города Лодейное Поле и на прилегающих территориях:</w:t>
      </w:r>
    </w:p>
    <w:p w:rsidR="00FA1F4E" w:rsidRDefault="003B2CFF">
      <w:pPr>
        <w:pStyle w:val="afff"/>
        <w:numPr>
          <w:ilvl w:val="0"/>
          <w:numId w:val="14"/>
        </w:numPr>
        <w:rPr>
          <w:rFonts w:cs="Times New Roman"/>
          <w:szCs w:val="24"/>
        </w:rPr>
      </w:pPr>
      <w:r>
        <w:rPr>
          <w:rFonts w:cs="Times New Roman"/>
          <w:szCs w:val="24"/>
        </w:rPr>
        <w:t xml:space="preserve">ПС 220/110/10 кВ №266«Лодейное Поле»; </w:t>
      </w:r>
    </w:p>
    <w:p w:rsidR="00FA1F4E" w:rsidRDefault="003B2CFF">
      <w:pPr>
        <w:pStyle w:val="afff"/>
        <w:numPr>
          <w:ilvl w:val="0"/>
          <w:numId w:val="14"/>
        </w:numPr>
        <w:rPr>
          <w:rFonts w:cs="Times New Roman"/>
          <w:szCs w:val="24"/>
        </w:rPr>
      </w:pPr>
      <w:r>
        <w:rPr>
          <w:rFonts w:cs="Times New Roman"/>
          <w:szCs w:val="24"/>
        </w:rPr>
        <w:t>ПС 35/6 кВ №31 «Лодейнопольская»;</w:t>
      </w:r>
    </w:p>
    <w:p w:rsidR="00FA1F4E" w:rsidRDefault="003B2CFF">
      <w:pPr>
        <w:pStyle w:val="afff"/>
        <w:numPr>
          <w:ilvl w:val="0"/>
          <w:numId w:val="14"/>
        </w:numPr>
        <w:rPr>
          <w:rFonts w:cs="Times New Roman"/>
          <w:szCs w:val="24"/>
        </w:rPr>
      </w:pPr>
      <w:r>
        <w:rPr>
          <w:rFonts w:cs="Times New Roman"/>
          <w:szCs w:val="24"/>
        </w:rPr>
        <w:t>магистральный газопровод Волхов</w:t>
      </w:r>
      <w:r w:rsidRPr="00DA721F">
        <w:rPr>
          <w:rFonts w:cs="Times New Roman"/>
          <w:szCs w:val="24"/>
        </w:rPr>
        <w:t xml:space="preserve"> </w:t>
      </w:r>
      <w:r>
        <w:rPr>
          <w:rFonts w:cs="Times New Roman"/>
          <w:szCs w:val="24"/>
        </w:rPr>
        <w:t>–</w:t>
      </w:r>
      <w:r w:rsidRPr="00DA721F">
        <w:rPr>
          <w:rFonts w:cs="Times New Roman"/>
          <w:szCs w:val="24"/>
        </w:rPr>
        <w:t xml:space="preserve"> </w:t>
      </w:r>
      <w:r>
        <w:rPr>
          <w:rFonts w:cs="Times New Roman"/>
          <w:szCs w:val="24"/>
        </w:rPr>
        <w:t>Петрозаводск и газораспределительная станция «Лодейное Поле».</w:t>
      </w:r>
    </w:p>
    <w:p w:rsidR="00FA1F4E" w:rsidRDefault="003B2CFF">
      <w:pPr>
        <w:rPr>
          <w:rFonts w:cs="Times New Roman"/>
          <w:szCs w:val="24"/>
        </w:rPr>
      </w:pPr>
      <w:r>
        <w:rPr>
          <w:rFonts w:cs="Times New Roman"/>
          <w:szCs w:val="24"/>
        </w:rPr>
        <w:t>Объекты социальной инфраструктуры регионального значения, расположенные в границах города Лодейное Поле:</w:t>
      </w:r>
    </w:p>
    <w:p w:rsidR="00FA1F4E" w:rsidRDefault="003B2CFF">
      <w:pPr>
        <w:pStyle w:val="afff"/>
        <w:numPr>
          <w:ilvl w:val="0"/>
          <w:numId w:val="14"/>
        </w:numPr>
        <w:rPr>
          <w:rFonts w:cs="Times New Roman"/>
          <w:szCs w:val="24"/>
        </w:rPr>
      </w:pPr>
      <w:r>
        <w:rPr>
          <w:rFonts w:cs="Times New Roman"/>
          <w:szCs w:val="24"/>
        </w:rPr>
        <w:t>объекты образования: ГБОУ СПО ЛО «Лодейнопольский техникум промышленных технологий»</w:t>
      </w:r>
    </w:p>
    <w:p w:rsidR="00FA1F4E" w:rsidRDefault="003B2CFF">
      <w:pPr>
        <w:pStyle w:val="afff"/>
        <w:numPr>
          <w:ilvl w:val="0"/>
          <w:numId w:val="14"/>
        </w:numPr>
        <w:rPr>
          <w:rFonts w:cs="Times New Roman"/>
          <w:szCs w:val="24"/>
        </w:rPr>
      </w:pPr>
      <w:r>
        <w:rPr>
          <w:rFonts w:cs="Times New Roman"/>
          <w:szCs w:val="24"/>
        </w:rPr>
        <w:t>объекты социальной защиты и здравоохранения: Лодейнопольская центральная районная больница, «Лодейнопольский Центр диагностики и консультирования» (учреждение для детей, нуждающихся в психолого-педагогической и медико-</w:t>
      </w:r>
      <w:r>
        <w:rPr>
          <w:rFonts w:cs="Times New Roman"/>
          <w:szCs w:val="24"/>
        </w:rPr>
        <w:lastRenderedPageBreak/>
        <w:t>социальной помощи), Дом интернат для престарелых и инвалидов, ЛОГКУЗ «Свирская психиатрическая больница»;</w:t>
      </w:r>
    </w:p>
    <w:p w:rsidR="00FA1F4E" w:rsidRDefault="003B2CFF">
      <w:pPr>
        <w:pStyle w:val="afff"/>
        <w:numPr>
          <w:ilvl w:val="0"/>
          <w:numId w:val="14"/>
        </w:numPr>
        <w:rPr>
          <w:rFonts w:cs="Times New Roman"/>
          <w:szCs w:val="24"/>
        </w:rPr>
      </w:pPr>
      <w:r>
        <w:rPr>
          <w:rFonts w:cs="Times New Roman"/>
          <w:szCs w:val="24"/>
        </w:rPr>
        <w:t>объекты в области культуры и искусства: Лодейнопольский историко-краеведческий музей (Лодейнопольский филиал ГБКУ ЛО «Музейное агентство»), Народный Театр Комедии, Драматический театр «Апрель»;</w:t>
      </w:r>
    </w:p>
    <w:p w:rsidR="00FA1F4E" w:rsidRDefault="003B2CFF">
      <w:pPr>
        <w:rPr>
          <w:rFonts w:cs="Times New Roman"/>
          <w:szCs w:val="24"/>
        </w:rPr>
      </w:pPr>
      <w:r>
        <w:rPr>
          <w:rFonts w:cs="Times New Roman"/>
          <w:szCs w:val="24"/>
        </w:rPr>
        <w:t>Кроме того, расположены крупные объекты спорта: городской стадион, бассейн МАУ ФОК «Штандарт», Ледовая Арена «Форвард».</w:t>
      </w:r>
    </w:p>
    <w:p w:rsidR="00FA1F4E" w:rsidRDefault="003B2CFF">
      <w:r>
        <w:t>В соответствии со сведениями интегрированной региональной информационной системы «Инвестиционное развитие территории Ленинградской области» к объектам, оказывающим существенное влияние на социально-экономическое развитие, отнесены следующие планируемые объекты и территории:</w:t>
      </w:r>
    </w:p>
    <w:p w:rsidR="00FA1F4E" w:rsidRDefault="003B2CFF">
      <w:pPr>
        <w:pStyle w:val="afff"/>
        <w:numPr>
          <w:ilvl w:val="0"/>
          <w:numId w:val="15"/>
        </w:numPr>
      </w:pPr>
      <w:r>
        <w:t>Гостинично-туристический комплекс (земельный участок с кадастровым номером 47:06:0102002:1138);</w:t>
      </w:r>
    </w:p>
    <w:p w:rsidR="00FA1F4E" w:rsidRDefault="003B2CFF">
      <w:pPr>
        <w:pStyle w:val="afff"/>
        <w:numPr>
          <w:ilvl w:val="0"/>
          <w:numId w:val="15"/>
        </w:numPr>
      </w:pPr>
      <w:r>
        <w:t>Юго-западная промышленная зона;</w:t>
      </w:r>
    </w:p>
    <w:p w:rsidR="00FA1F4E" w:rsidRDefault="003B2CFF">
      <w:pPr>
        <w:pStyle w:val="afff"/>
        <w:numPr>
          <w:ilvl w:val="0"/>
          <w:numId w:val="15"/>
        </w:numPr>
      </w:pPr>
      <w:r>
        <w:t>Юго-восточная промышленная зона;</w:t>
      </w:r>
    </w:p>
    <w:p w:rsidR="00FA1F4E" w:rsidRDefault="003B2CFF">
      <w:pPr>
        <w:pStyle w:val="afff"/>
        <w:numPr>
          <w:ilvl w:val="0"/>
          <w:numId w:val="15"/>
        </w:numPr>
      </w:pPr>
      <w:r>
        <w:t>Западная промышленная зона № 1;</w:t>
      </w:r>
    </w:p>
    <w:p w:rsidR="00FA1F4E" w:rsidRDefault="003B2CFF">
      <w:pPr>
        <w:pStyle w:val="afff"/>
        <w:numPr>
          <w:ilvl w:val="0"/>
          <w:numId w:val="15"/>
        </w:numPr>
      </w:pPr>
      <w:r>
        <w:t>Западная промышленная зона № 2;</w:t>
      </w:r>
    </w:p>
    <w:p w:rsidR="00FA1F4E" w:rsidRDefault="003B2CFF">
      <w:pPr>
        <w:pStyle w:val="afff"/>
        <w:numPr>
          <w:ilvl w:val="0"/>
          <w:numId w:val="15"/>
        </w:numPr>
      </w:pPr>
      <w:r>
        <w:t>Инвестиционная площадка № 2 г. Лодейное Поле;</w:t>
      </w:r>
    </w:p>
    <w:p w:rsidR="00FA1F4E" w:rsidRDefault="003B2CFF">
      <w:pPr>
        <w:pStyle w:val="afff"/>
        <w:numPr>
          <w:ilvl w:val="0"/>
          <w:numId w:val="15"/>
        </w:numPr>
      </w:pPr>
      <w:r>
        <w:t>Инвестиционная площадка «Лодейнопольская».</w:t>
      </w:r>
    </w:p>
    <w:p w:rsidR="00FA1F4E" w:rsidRDefault="00FA1F4E"/>
    <w:p w:rsidR="00FA1F4E" w:rsidRDefault="003B2CFF">
      <w:pPr>
        <w:rPr>
          <w:b/>
        </w:rPr>
      </w:pPr>
      <w:r>
        <w:rPr>
          <w:b/>
        </w:rPr>
        <w:t>Категории земель прилегающих территорий</w:t>
      </w:r>
    </w:p>
    <w:p w:rsidR="00FA1F4E" w:rsidRDefault="003B2CFF">
      <w:r>
        <w:t>Северная граница города Лодейное Поле проходит по урезу воды реки Свирь (земли водного фонда). С западной стороны небольшой участок границы населенного пункта ограничен землями сельскохозяйственного назначения и землями промышленности (отводы автомобильных дорог и железнодорожной магистрали).</w:t>
      </w:r>
    </w:p>
    <w:p w:rsidR="00FA1F4E" w:rsidRDefault="003B2CFF">
      <w:r>
        <w:t>С западной, юго-западной и частично с восточной стороны граница города Лодейное Поле граничит с землями лесного фонда. Лесохозяйственный регламент Лодейнопольского лесничества Ленинградской области утвержден приказом комитета по природным ресурсам Ленинградской области от 26 ноября 2018 года № 33 (с изменениями, внесенными приказом комитета по природным ресурсам Ленинградской области от 15 июля 2021 года № 20 и приказом комитета по природным ресурсам Ленинградской области от 30 декабря 2021 года № 72).</w:t>
      </w:r>
    </w:p>
    <w:p w:rsidR="00FA1F4E" w:rsidRDefault="003B2CFF">
      <w:r>
        <w:t xml:space="preserve">В границах города Лодейное Поле городские леса отсутствуют. </w:t>
      </w:r>
    </w:p>
    <w:p w:rsidR="00FA1F4E" w:rsidRDefault="003B2CFF">
      <w:r>
        <w:t>В соответствии изменениями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изменение земель лесного фонда не предусмотрено. Земельные участки, имеющие двойной учет, в границах территории, применительно к которой подготовлен генеральный план, отсутствуют.</w:t>
      </w:r>
    </w:p>
    <w:p w:rsidR="00FA1F4E" w:rsidRDefault="00FA1F4E">
      <w:pPr>
        <w:ind w:firstLine="0"/>
      </w:pPr>
    </w:p>
    <w:p w:rsidR="00FA1F4E" w:rsidRDefault="003B2CFF" w:rsidP="00891547">
      <w:pPr>
        <w:keepNext/>
        <w:ind w:firstLine="0"/>
        <w:jc w:val="center"/>
      </w:pPr>
      <w:r>
        <w:lastRenderedPageBreak/>
        <w:t>Рисунок 2. Фрагмент Карты-схемы распределения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Лодейнопольского лесничества Ленинградской области</w:t>
      </w:r>
    </w:p>
    <w:p w:rsidR="00FA1F4E" w:rsidRDefault="00FA1F4E" w:rsidP="00891547">
      <w:pPr>
        <w:keepNext/>
        <w:ind w:firstLine="0"/>
        <w:jc w:val="center"/>
      </w:pPr>
    </w:p>
    <w:p w:rsidR="00FA1F4E" w:rsidRDefault="00595864" w:rsidP="00891547">
      <w:pPr>
        <w:keepNext/>
        <w:ind w:firstLine="0"/>
        <w:jc w:val="center"/>
      </w:pPr>
      <w:r>
        <w:pict>
          <v:shape id="_x0000_i1026" type="#_x0000_t75" style="width:387pt;height:258pt">
            <v:imagedata r:id="rId9" o:title="work"/>
          </v:shape>
        </w:pict>
      </w:r>
    </w:p>
    <w:p w:rsidR="00FA1F4E" w:rsidRDefault="003B2CFF" w:rsidP="00891547">
      <w:pPr>
        <w:keepNext/>
        <w:ind w:left="708"/>
      </w:pPr>
      <w:r>
        <w:t>На карте номерами обозначены:</w:t>
      </w:r>
    </w:p>
    <w:p w:rsidR="00FA1F4E" w:rsidRDefault="003B2CFF" w:rsidP="00891547">
      <w:pPr>
        <w:keepNext/>
        <w:ind w:left="708"/>
      </w:pPr>
      <w:r>
        <w:t>3 – Свирское участковое лесничество</w:t>
      </w:r>
    </w:p>
    <w:p w:rsidR="00FA1F4E" w:rsidRDefault="003B2CFF" w:rsidP="00891547">
      <w:pPr>
        <w:keepNext/>
        <w:ind w:left="708"/>
      </w:pPr>
      <w:r>
        <w:t>4 – Лодейнопольское участковое лесничество</w:t>
      </w:r>
    </w:p>
    <w:p w:rsidR="00FA1F4E" w:rsidRDefault="003B2CFF" w:rsidP="00891547">
      <w:pPr>
        <w:keepNext/>
        <w:ind w:left="708"/>
      </w:pPr>
      <w:r>
        <w:t>10 – Свирское сельское участковое лесничество</w:t>
      </w:r>
    </w:p>
    <w:p w:rsidR="00FA1F4E" w:rsidRDefault="00FA1F4E"/>
    <w:p w:rsidR="00FA1F4E" w:rsidRDefault="003B2CFF">
      <w:r>
        <w:t>На карте «Карта современного использования территории. Карта зон с особыми условиями использования территорий. Карта объектов культурного наследия» показаны территории по видам их использования на основе функциональных зон, установленных действующим генеральным планом, а также территории, свободные от застройки. С учётом предложений органов местного самоуправления на карте представлены также сведения о границах земельных участков и территорий, для которых вносятся изменения функционального зонирования с учетом существующего и планируемого использования территории</w:t>
      </w:r>
      <w:r>
        <w:rPr>
          <w:rStyle w:val="af8"/>
        </w:rPr>
        <w:footnoteReference w:id="1"/>
      </w:r>
      <w:r>
        <w:t>.</w:t>
      </w:r>
    </w:p>
    <w:p w:rsidR="00FA1F4E" w:rsidRDefault="003B2CFF">
      <w:r>
        <w:t>В соответствии с частью 8 статьи 23 Градостроительного кодекса Российской Федерации материалы по обоснованию генерального плана в виде карт отображают:</w:t>
      </w:r>
    </w:p>
    <w:p w:rsidR="00FA1F4E" w:rsidRDefault="003B2CFF">
      <w:r>
        <w:t>1) границы поселения;</w:t>
      </w:r>
    </w:p>
    <w:p w:rsidR="00FA1F4E" w:rsidRDefault="003B2CFF">
      <w:r>
        <w:t>2) границы существующих населенных пунктов, входящих в состав поселения;</w:t>
      </w:r>
    </w:p>
    <w:p w:rsidR="00FA1F4E" w:rsidRDefault="003B2CFF">
      <w:r>
        <w:t>3) местоположение существующих и строящихся объектов местного значения поселения;</w:t>
      </w:r>
    </w:p>
    <w:p w:rsidR="00FA1F4E" w:rsidRDefault="003B2CFF">
      <w:r>
        <w:t>4) особо охраняемые природные территории;</w:t>
      </w:r>
    </w:p>
    <w:p w:rsidR="00FA1F4E" w:rsidRDefault="003B2CFF">
      <w:r>
        <w:t>5) территории объектов культурного наследия;</w:t>
      </w:r>
    </w:p>
    <w:p w:rsidR="00FA1F4E" w:rsidRDefault="003B2CFF">
      <w:r>
        <w:t>6) зоны с особыми условиями использования территорий;</w:t>
      </w:r>
    </w:p>
    <w:p w:rsidR="00FA1F4E" w:rsidRDefault="003B2CFF">
      <w:r>
        <w:t>7) территории, подверженные риску возникновения чрезвычайных ситуаций природного и техногенного характера;</w:t>
      </w:r>
    </w:p>
    <w:p w:rsidR="00FA1F4E" w:rsidRDefault="003B2CFF">
      <w:r>
        <w:t>8) границы лесничеств;</w:t>
      </w:r>
    </w:p>
    <w:p w:rsidR="00FA1F4E" w:rsidRDefault="003B2CFF">
      <w: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w:t>
      </w:r>
    </w:p>
    <w:p w:rsidR="00FA1F4E" w:rsidRDefault="003B2CFF">
      <w:r>
        <w:t xml:space="preserve">Сведения в соответствии с частью 8 статьи 23 Градостроительного кодекса Российской Федерации отражены на следующих картах в составе материалов по обоснованию генерального </w:t>
      </w:r>
      <w:r>
        <w:lastRenderedPageBreak/>
        <w:t>плана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w:t>
      </w:r>
    </w:p>
    <w:p w:rsidR="00FA1F4E" w:rsidRDefault="003B2CFF">
      <w:pPr>
        <w:pStyle w:val="afff"/>
        <w:numPr>
          <w:ilvl w:val="0"/>
          <w:numId w:val="16"/>
        </w:numPr>
      </w:pPr>
      <w:r>
        <w:t>Карта современного использования территории. Карта зон с особыми условиями использования территорий. Карта объектов культурного наследия;</w:t>
      </w:r>
    </w:p>
    <w:p w:rsidR="00FA1F4E" w:rsidRDefault="003B2CFF">
      <w:pPr>
        <w:pStyle w:val="afff"/>
        <w:numPr>
          <w:ilvl w:val="0"/>
          <w:numId w:val="16"/>
        </w:numPr>
      </w:pPr>
      <w:r>
        <w:t>Карта развития объектов транспортной инфраструктуры;</w:t>
      </w:r>
    </w:p>
    <w:p w:rsidR="00FA1F4E" w:rsidRDefault="003B2CFF">
      <w:pPr>
        <w:pStyle w:val="afff"/>
        <w:numPr>
          <w:ilvl w:val="0"/>
          <w:numId w:val="16"/>
        </w:numPr>
      </w:pPr>
      <w:r>
        <w:t>Карта развития объектов трубопроводного транспорта и инженерной инфраструктуры (объекты газоснабжения, теплоснабжения, электроснабжения);</w:t>
      </w:r>
    </w:p>
    <w:p w:rsidR="00FA1F4E" w:rsidRDefault="003B2CFF">
      <w:pPr>
        <w:pStyle w:val="afff"/>
        <w:numPr>
          <w:ilvl w:val="0"/>
          <w:numId w:val="16"/>
        </w:numPr>
      </w:pPr>
      <w:r>
        <w:t>Карта развития объектов инженерной инфраструктуры (объекты водоснабжения населения, водоотведения);</w:t>
      </w:r>
    </w:p>
    <w:p w:rsidR="00FA1F4E" w:rsidRDefault="003B2CFF">
      <w:pPr>
        <w:pStyle w:val="afff"/>
        <w:numPr>
          <w:ilvl w:val="0"/>
          <w:numId w:val="16"/>
        </w:numPr>
        <w:rPr>
          <w:rFonts w:cs="Times New Roman"/>
        </w:rPr>
      </w:pPr>
      <w:r>
        <w:rPr>
          <w:rFonts w:cs="Times New Roman"/>
        </w:rPr>
        <w:t>Карта развития объектов социальной инфраструктуры, объектов в иных областях в связи с решением вопросов местного значения, регионального значения;</w:t>
      </w:r>
    </w:p>
    <w:p w:rsidR="00FA1F4E" w:rsidRDefault="003B2CFF">
      <w:pPr>
        <w:pStyle w:val="afff"/>
        <w:numPr>
          <w:ilvl w:val="0"/>
          <w:numId w:val="16"/>
        </w:numPr>
        <w:rPr>
          <w:rFonts w:cs="Times New Roman"/>
        </w:rPr>
      </w:pPr>
      <w:r>
        <w:t>Карта объектов культурного наследия;</w:t>
      </w:r>
    </w:p>
    <w:p w:rsidR="00FA1F4E" w:rsidRDefault="003B2CFF">
      <w:pPr>
        <w:pStyle w:val="afff"/>
        <w:numPr>
          <w:ilvl w:val="0"/>
          <w:numId w:val="16"/>
        </w:numPr>
      </w:pPr>
      <w:r>
        <w:t>Карта территорий, подверженных риску возникновения чрезвычайных ситуаций природного и техногенного характера.</w:t>
      </w:r>
    </w:p>
    <w:p w:rsidR="00FA1F4E" w:rsidRDefault="00FA1F4E"/>
    <w:p w:rsidR="00FA1F4E" w:rsidRDefault="003B2CFF">
      <w:pPr>
        <w:pStyle w:val="20"/>
      </w:pPr>
      <w:bookmarkStart w:id="8" w:name="_Toc106831747"/>
      <w:r>
        <w:t>3.3. Территории объектов культурного наследия</w:t>
      </w:r>
      <w:bookmarkEnd w:id="8"/>
    </w:p>
    <w:p w:rsidR="00FA1F4E" w:rsidRDefault="00FA1F4E"/>
    <w:p w:rsidR="00FA1F4E" w:rsidRDefault="003B2CFF">
      <w:r>
        <w:t>В границах города Лодейное Поле расположены 3 объекта культурного наследия федерального значения, а также объекты культурного наследия регионального значения и выявленные объекты культурного наследия. Перечень объектов культурного наследия представлен в приложении 1.</w:t>
      </w:r>
    </w:p>
    <w:p w:rsidR="00FA1F4E" w:rsidRDefault="003B2CFF">
      <w:r>
        <w:t>Сведения о зонах с особыми условиями использования территорий, ограничениях использования земельных участков и объектов капитального строительства в границах зон охраны и защитных зон объектов культурного наследия представлены в разделах 3.6 и 3.7.</w:t>
      </w:r>
    </w:p>
    <w:p w:rsidR="00FA1F4E" w:rsidRDefault="003B2CFF">
      <w:r>
        <w:t>Сведения о территориях объектов культурного наследия представлены на карте «Карта объектов культурного наследия» с учетом сведений, внесенных в ЕГРН.</w:t>
      </w:r>
    </w:p>
    <w:p w:rsidR="00FA1F4E" w:rsidRDefault="00FA1F4E"/>
    <w:p w:rsidR="00FA1F4E" w:rsidRDefault="003B2CFF">
      <w:pPr>
        <w:pStyle w:val="20"/>
      </w:pPr>
      <w:bookmarkStart w:id="9" w:name="_Toc106831748"/>
      <w:r>
        <w:t>3.4. Особо охраняемые природные территории федерального, регионального, местного значения</w:t>
      </w:r>
      <w:bookmarkEnd w:id="9"/>
    </w:p>
    <w:p w:rsidR="00FA1F4E" w:rsidRDefault="00FA1F4E"/>
    <w:p w:rsidR="00FA1F4E" w:rsidRDefault="003B2CFF">
      <w:r>
        <w:t>Особо охраняемые природные территории федерального, регионального, местного значения в границах территории, применительно к которой подготовлен генеральный план, отсутствуют. Создание новых особо охраняемых природных территорий федерального, регионального, местного значения не планируется.</w:t>
      </w:r>
    </w:p>
    <w:p w:rsidR="00FA1F4E" w:rsidRDefault="00FA1F4E"/>
    <w:p w:rsidR="00FA1F4E" w:rsidRDefault="003B2CFF">
      <w:pPr>
        <w:pStyle w:val="20"/>
      </w:pPr>
      <w:bookmarkStart w:id="10" w:name="_Toc106831749"/>
      <w:r>
        <w:t>3.5. Месторождения полезных ископаемых</w:t>
      </w:r>
      <w:bookmarkEnd w:id="10"/>
    </w:p>
    <w:p w:rsidR="00FA1F4E" w:rsidRDefault="00FA1F4E"/>
    <w:p w:rsidR="00FA1F4E" w:rsidRDefault="003B2CFF">
      <w:r>
        <w:t>В границах территории, применительно к которой подготовлен генеральный план, частично расположена территория месторождения гравийно-песчаных материалов Мирошкиничи.</w:t>
      </w:r>
    </w:p>
    <w:p w:rsidR="00FA1F4E" w:rsidRDefault="003B2CFF">
      <w:r>
        <w:t>Участки недр, предоставленных в пользование, за исключением добычи подземных вод для хозяйственно-питьевого водоснабжения, отсутствуют.</w:t>
      </w:r>
    </w:p>
    <w:p w:rsidR="00FA1F4E" w:rsidRDefault="00FA1F4E"/>
    <w:p w:rsidR="00FA1F4E" w:rsidRDefault="003B2CFF">
      <w:pPr>
        <w:pStyle w:val="20"/>
      </w:pPr>
      <w:bookmarkStart w:id="11" w:name="_Toc106831750"/>
      <w:r>
        <w:t>3.6. Зоны с особыми условиями использования территорий</w:t>
      </w:r>
      <w:bookmarkEnd w:id="11"/>
      <w:r>
        <w:t xml:space="preserve"> </w:t>
      </w:r>
    </w:p>
    <w:p w:rsidR="00FA1F4E" w:rsidRDefault="00FA1F4E"/>
    <w:p w:rsidR="00FA1F4E" w:rsidRDefault="003B2CFF">
      <w:r>
        <w:t>Сведения о зонах с особыми условиями использования территории представлены на карте «Карта современного использования территории. Карта зон с особыми условиями использования территорий. Карта объектов культурного наследия». На карте отображены зоны с особыми условиями использования территорий, которые выражаются в масштабе карты.</w:t>
      </w:r>
    </w:p>
    <w:p w:rsidR="00FA1F4E" w:rsidRDefault="003B2CFF">
      <w:r>
        <w:t>Зоны с особыми условиями использования территорий устанавливаются в следующих целях:</w:t>
      </w:r>
    </w:p>
    <w:p w:rsidR="00FA1F4E" w:rsidRDefault="003B2CFF">
      <w:pPr>
        <w:pStyle w:val="afff"/>
        <w:numPr>
          <w:ilvl w:val="0"/>
          <w:numId w:val="17"/>
        </w:numPr>
      </w:pPr>
      <w:r>
        <w:t>защита жизни и здоровья граждан;</w:t>
      </w:r>
    </w:p>
    <w:p w:rsidR="00FA1F4E" w:rsidRDefault="003B2CFF">
      <w:pPr>
        <w:pStyle w:val="afff"/>
        <w:numPr>
          <w:ilvl w:val="0"/>
          <w:numId w:val="17"/>
        </w:numPr>
      </w:pPr>
      <w:r>
        <w:lastRenderedPageBreak/>
        <w:t>безопасная эксплуатация объектов транспорта, связи, энергетики, объектов обороны страны и безопасности государства;</w:t>
      </w:r>
    </w:p>
    <w:p w:rsidR="00FA1F4E" w:rsidRDefault="003B2CFF">
      <w:pPr>
        <w:pStyle w:val="afff"/>
        <w:numPr>
          <w:ilvl w:val="0"/>
          <w:numId w:val="17"/>
        </w:numPr>
      </w:pPr>
      <w:r>
        <w:t>обеспечение сохранности объектов культурного наследия;</w:t>
      </w:r>
    </w:p>
    <w:p w:rsidR="00FA1F4E" w:rsidRDefault="003B2CFF">
      <w:pPr>
        <w:pStyle w:val="afff"/>
        <w:numPr>
          <w:ilvl w:val="0"/>
          <w:numId w:val="17"/>
        </w:numPr>
      </w:pPr>
      <w: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FA1F4E" w:rsidRDefault="003B2CFF">
      <w:pPr>
        <w:pStyle w:val="afff"/>
        <w:numPr>
          <w:ilvl w:val="0"/>
          <w:numId w:val="17"/>
        </w:numPr>
      </w:pPr>
      <w:r>
        <w:t>обеспечение обороны страны и безопасности государства.</w:t>
      </w:r>
    </w:p>
    <w:p w:rsidR="00FA1F4E" w:rsidRDefault="003B2CFF">
      <w:r>
        <w:t>В указанных целях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FA1F4E" w:rsidRDefault="003B2CFF">
      <w:r>
        <w:t xml:space="preserve">Виды зон с особыми условиями использования территорий установлены в соответствии со статьей 105 Земельного кодекса Российской Федерации. 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w:t>
      </w:r>
    </w:p>
    <w:p w:rsidR="00FA1F4E" w:rsidRDefault="003B2CFF">
      <w:pPr>
        <w:ind w:firstLine="708"/>
      </w:pPr>
      <w:r>
        <w:t>В соответствии с частью 59 статьи 26 Федерального закона от 3 августа 2018 года № 342-ФЗ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2025 года. В соответствии с пунктом 14 статьи 26 Федерального закона от 3 августа 2018 года № 342-ФЗ установлено, если зона с особыми условиями использования территории, требование об установлении которой предусмотрено в соответствии с данным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1 января 2028 года, за исключением случаев, предусмотренных частями 13 и 15 статьи 26 Федерального закона от 3 августа 2018 года № 342-ФЗ.</w:t>
      </w:r>
    </w:p>
    <w:p w:rsidR="00FA1F4E" w:rsidRDefault="003B2CFF">
      <w:r>
        <w:t xml:space="preserve">На карте «Карта современного использования территории. Карта зон с особыми условиями использования территорий. Карта объектов культурного наследия» зоны с особыми условиями использования территорий представлены в соответствии со сведениями, внесенными в ЕГРН, с учётом сведений действующего генерального плана. </w:t>
      </w:r>
    </w:p>
    <w:p w:rsidR="00FA1F4E" w:rsidRDefault="003B2CFF">
      <w:pPr>
        <w:rPr>
          <w:rFonts w:cs="Times New Roman"/>
        </w:rPr>
      </w:pPr>
      <w:r>
        <w:t xml:space="preserve">Дополнительно на карте показаны </w:t>
      </w:r>
      <w:r>
        <w:rPr>
          <w:rFonts w:cs="Times New Roman"/>
        </w:rPr>
        <w:t>зоны с особыми условиями использования территорий, устанавливаемые на основании постановлений Правительства Российской Федерации или в силу федеральных законов</w:t>
      </w:r>
      <w:r>
        <w:t xml:space="preserve"> Российской Федерации</w:t>
      </w:r>
      <w:r>
        <w:rPr>
          <w:rFonts w:cs="Times New Roman"/>
        </w:rPr>
        <w:t xml:space="preserve">, </w:t>
      </w:r>
      <w:r>
        <w:t xml:space="preserve">решения исполнительного органа государственной власти, </w:t>
      </w:r>
      <w:r>
        <w:rPr>
          <w:rFonts w:cs="Times New Roman"/>
        </w:rPr>
        <w:t>сведения о которых по состоянию на 01.04.2022 не внесены в Единый государственный реестр недвижимости</w:t>
      </w:r>
      <w:r w:rsidRPr="00DA721F">
        <w:rPr>
          <w:rFonts w:cs="Times New Roman"/>
        </w:rPr>
        <w:t xml:space="preserve"> (</w:t>
      </w:r>
      <w:r>
        <w:rPr>
          <w:rFonts w:cs="Times New Roman"/>
        </w:rPr>
        <w:t xml:space="preserve">водоохранные зоны, прибрежные защитные полосы, защитные зоны объектов культурного наследия, </w:t>
      </w:r>
      <w:r>
        <w:t>зоны санитарной охраны источников водоснабжения</w:t>
      </w:r>
      <w:r>
        <w:rPr>
          <w:rFonts w:cs="Times New Roman"/>
        </w:rPr>
        <w:t>).</w:t>
      </w:r>
    </w:p>
    <w:p w:rsidR="00FA1F4E" w:rsidRDefault="003B2CFF">
      <w:r>
        <w:rPr>
          <w:rFonts w:cs="Times New Roman"/>
        </w:rPr>
        <w:t xml:space="preserve">В соответствии с частью 8 статьи 26 </w:t>
      </w:r>
      <w:r>
        <w:t xml:space="preserve">Федерального закона от 3 августа 2018 года № 342-ФЗ до 1 января 2028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w:t>
      </w:r>
      <w:r>
        <w:lastRenderedPageBreak/>
        <w:t>недвижимости, если такие зоны установлены до 1 января 2025 года одним из следующих способов:</w:t>
      </w:r>
    </w:p>
    <w:p w:rsidR="00FA1F4E" w:rsidRDefault="003B2CFF">
      <w:pPr>
        <w:rPr>
          <w:rFonts w:cs="Times New Roman"/>
        </w:rPr>
      </w:pPr>
      <w:r>
        <w:rPr>
          <w:rFonts w:cs="Times New Roman"/>
        </w:rPr>
        <w:t>1) 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FA1F4E" w:rsidRDefault="003B2CFF">
      <w:pPr>
        <w:rPr>
          <w:rFonts w:cs="Times New Roman"/>
        </w:rPr>
      </w:pPr>
      <w:r>
        <w:rPr>
          <w:rFonts w:cs="Times New Roman"/>
        </w:rPr>
        <w:t>2) 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FA1F4E" w:rsidRDefault="003B2CFF">
      <w:pPr>
        <w:rPr>
          <w:rFonts w:cs="Times New Roman"/>
        </w:rPr>
      </w:pPr>
      <w:r>
        <w:rPr>
          <w:rFonts w:cs="Times New Roman"/>
        </w:rPr>
        <w:t>3) 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FA1F4E" w:rsidRDefault="003B2CFF">
      <w:pPr>
        <w:rPr>
          <w:rFonts w:cs="Times New Roman"/>
        </w:rPr>
      </w:pPr>
      <w:r>
        <w:rPr>
          <w:rFonts w:cs="Times New Roman"/>
        </w:rPr>
        <w:t>4) решением суда.</w:t>
      </w:r>
    </w:p>
    <w:p w:rsidR="00FA1F4E" w:rsidRDefault="003B2CFF">
      <w:r>
        <w:t>В соответствии с частью 2 статьи 41.1 Градостроительного кодекса Российской Федерации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FA1F4E" w:rsidRDefault="00FA1F4E"/>
    <w:p w:rsidR="00FA1F4E" w:rsidRDefault="003B2CFF">
      <w:pPr>
        <w:pStyle w:val="afff3"/>
        <w:spacing w:before="0" w:after="0"/>
        <w:ind w:firstLine="709"/>
      </w:pPr>
      <w:r>
        <w:rPr>
          <w:b/>
        </w:rPr>
        <w:t>Санитарно-защитные зоны</w:t>
      </w:r>
      <w:r>
        <w:t xml:space="preserve"> </w:t>
      </w:r>
    </w:p>
    <w:p w:rsidR="00FA1F4E" w:rsidRDefault="003B2CFF">
      <w:pPr>
        <w:pStyle w:val="afff3"/>
        <w:spacing w:before="0" w:after="0"/>
        <w:ind w:firstLine="709"/>
      </w:pPr>
      <w:r>
        <w:t xml:space="preserve">Содержание специального режима на территории санитарно-защитных зон определено в соответствии с </w:t>
      </w:r>
      <w:r>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утвержденных </w:t>
      </w:r>
      <w:r>
        <w:t>постановлением Правительства Российской Федерации от 3 марта 2018 года № 222 в составе требований к использованию, организации и благоустройству санитарно-защитных зон.</w:t>
      </w:r>
    </w:p>
    <w:p w:rsidR="00FA1F4E" w:rsidRDefault="003B2CFF">
      <w:pPr>
        <w:pStyle w:val="afff3"/>
        <w:spacing w:before="0" w:after="0"/>
        <w:ind w:firstLine="709"/>
      </w:pPr>
      <w: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A1F4E" w:rsidRDefault="003B2CFF">
      <w:r>
        <w:t>Размеры санитарно-защитных зон устанавливаются с учетом СанПиН 2.2.1/2.1.1.1200-03</w:t>
      </w:r>
      <w:r>
        <w:rPr>
          <w:rStyle w:val="af8"/>
        </w:rPr>
        <w:footnoteReference w:id="2"/>
      </w:r>
      <w:r>
        <w:t xml:space="preserve">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FA1F4E" w:rsidRDefault="003B2CFF">
      <w:r>
        <w:t>В границах территории, применительно к которой подготовлен генеральный план, установлены следующие санитарно-защитные зоны:</w:t>
      </w:r>
    </w:p>
    <w:p w:rsidR="00FA1F4E" w:rsidRDefault="003B2CFF">
      <w:pPr>
        <w:pStyle w:val="afff"/>
        <w:numPr>
          <w:ilvl w:val="0"/>
          <w:numId w:val="18"/>
        </w:numPr>
      </w:pPr>
      <w:r>
        <w:t>санитарно-защитная зона для ООО «Лен Уголь» (реестровый номер 47:06-6.146);</w:t>
      </w:r>
    </w:p>
    <w:p w:rsidR="00FA1F4E" w:rsidRDefault="003B2CFF">
      <w:pPr>
        <w:pStyle w:val="afff"/>
        <w:numPr>
          <w:ilvl w:val="0"/>
          <w:numId w:val="18"/>
        </w:numPr>
      </w:pPr>
      <w:r>
        <w:t>санитарно-защитная зона для АЗС № 219 ООО «Киришиавтосервис» (реестровый номер 47:06-6.134);</w:t>
      </w:r>
    </w:p>
    <w:p w:rsidR="00FA1F4E" w:rsidRDefault="003B2CFF">
      <w:pPr>
        <w:pStyle w:val="afff"/>
        <w:numPr>
          <w:ilvl w:val="0"/>
          <w:numId w:val="18"/>
        </w:numPr>
      </w:pPr>
      <w:r>
        <w:t>санитарно-защитная зона для АЗС № 222 ООО «Киришиавтосервис» (реестровый номер 47:06-6.151).</w:t>
      </w:r>
    </w:p>
    <w:p w:rsidR="00FA1F4E" w:rsidRDefault="003B2CFF">
      <w:r>
        <w:t>От иных объектов производственного назначения, расположенных на территории города Лодейное Поле, и объектов капитального строительства, являющихся источниками химического, физического, биологического воздействия на среду обитания человека сведения о санитарно-защитных зонах в ЕГРН не внесены.</w:t>
      </w:r>
    </w:p>
    <w:p w:rsidR="00FA1F4E" w:rsidRDefault="003B2CFF">
      <w:pPr>
        <w:pStyle w:val="afff3"/>
        <w:spacing w:before="0" w:after="0"/>
        <w:ind w:firstLine="709"/>
      </w:pPr>
      <w:r>
        <w:lastRenderedPageBreak/>
        <w:t>В пределах санитарно-защитных зон от действующих объектов характер использования территорий соответствует действующим ограничениям использования территории.</w:t>
      </w:r>
    </w:p>
    <w:p w:rsidR="00FA1F4E" w:rsidRDefault="00FA1F4E">
      <w:pPr>
        <w:rPr>
          <w:b/>
          <w:szCs w:val="24"/>
        </w:rPr>
      </w:pPr>
    </w:p>
    <w:p w:rsidR="00FA1F4E" w:rsidRDefault="003B2CFF">
      <w:pPr>
        <w:rPr>
          <w:b/>
          <w:szCs w:val="24"/>
        </w:rPr>
      </w:pPr>
      <w:r>
        <w:rPr>
          <w:b/>
          <w:szCs w:val="24"/>
        </w:rPr>
        <w:t>Охранные зоны объектов инженерной инфраструктуры (объектов электросетевого хозяйства, объектов системы газоснабжения, сетей связи и сооружений связи)</w:t>
      </w:r>
    </w:p>
    <w:p w:rsidR="00FA1F4E" w:rsidRDefault="003B2CFF">
      <w:r>
        <w:t>На территории, применительно к которой подготовлен генеральный план, установлены следующие виды охранных зон объектов инженерной инфраструктуры, сведения о которых внесены в ЕГРН:</w:t>
      </w:r>
    </w:p>
    <w:p w:rsidR="00FA1F4E" w:rsidRDefault="003B2CFF">
      <w:pPr>
        <w:pStyle w:val="afff"/>
        <w:numPr>
          <w:ilvl w:val="0"/>
          <w:numId w:val="19"/>
        </w:numPr>
      </w:pPr>
      <w:r>
        <w:t>охранная зона объектов электроэнергетики (объектов электросетевого хозяйства и объектов по производству электрической энергии);</w:t>
      </w:r>
    </w:p>
    <w:p w:rsidR="00FA1F4E" w:rsidRDefault="003B2CFF">
      <w:pPr>
        <w:pStyle w:val="afff"/>
        <w:numPr>
          <w:ilvl w:val="0"/>
          <w:numId w:val="19"/>
        </w:numPr>
      </w:pPr>
      <w:r>
        <w:t>охранная зона трубопроводов (газопроводов);</w:t>
      </w:r>
    </w:p>
    <w:p w:rsidR="00FA1F4E" w:rsidRDefault="003B2CFF">
      <w:pPr>
        <w:pStyle w:val="afff"/>
        <w:numPr>
          <w:ilvl w:val="0"/>
          <w:numId w:val="19"/>
        </w:numPr>
      </w:pPr>
      <w:r>
        <w:t>охранная зона линий и сооружений связи;</w:t>
      </w:r>
    </w:p>
    <w:p w:rsidR="00FA1F4E" w:rsidRDefault="003B2CFF">
      <w:pPr>
        <w:pStyle w:val="afff"/>
        <w:numPr>
          <w:ilvl w:val="0"/>
          <w:numId w:val="19"/>
        </w:numPr>
      </w:pPr>
      <w:r>
        <w:t>охранная зона тепловых сетей.</w:t>
      </w:r>
    </w:p>
    <w:p w:rsidR="00FA1F4E" w:rsidRDefault="003B2CFF">
      <w:r>
        <w:t>Охранные зоны объектов электросетевого хозяйства, объектов системы газоснабжения, сетей связи и сооружений связи, охранные зоны тепловых сетей устанавливаются в соответствии со следующими нормативными правовыми актами:</w:t>
      </w:r>
    </w:p>
    <w:p w:rsidR="00FA1F4E" w:rsidRDefault="003B2CFF">
      <w:pPr>
        <w:pStyle w:val="afff"/>
        <w:numPr>
          <w:ilvl w:val="0"/>
          <w:numId w:val="20"/>
        </w:numPr>
      </w:pPr>
      <w:r>
        <w:t>Правила охраны магистральных трубопроводов, утвержденные постановлением Госгортехнадзора России от 22 апреля 1992 года № 9 (с изменениями);</w:t>
      </w:r>
    </w:p>
    <w:p w:rsidR="00FA1F4E" w:rsidRDefault="003B2CFF">
      <w:pPr>
        <w:pStyle w:val="afff"/>
        <w:numPr>
          <w:ilvl w:val="0"/>
          <w:numId w:val="20"/>
        </w:numPr>
      </w:pPr>
      <w:r>
        <w:t>Правила охраны газораспределительных сетей, утвержденные постановлением Правительства Российской Федерации от 20 ноября 2000 года № 878;</w:t>
      </w:r>
    </w:p>
    <w:p w:rsidR="00FA1F4E" w:rsidRDefault="003B2CFF">
      <w:pPr>
        <w:pStyle w:val="afff"/>
        <w:numPr>
          <w:ilvl w:val="0"/>
          <w:numId w:val="20"/>
        </w:numPr>
      </w:pPr>
      <w: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w:t>
      </w:r>
    </w:p>
    <w:p w:rsidR="00FA1F4E" w:rsidRDefault="003B2CFF">
      <w:pPr>
        <w:pStyle w:val="afff"/>
        <w:numPr>
          <w:ilvl w:val="0"/>
          <w:numId w:val="20"/>
        </w:numPr>
      </w:pPr>
      <w:r>
        <w:t>Типовые правила охраны коммунальных тепловых сетей, утвержденные приказом Минстроя России от 17 августа 1992 года № 197;</w:t>
      </w:r>
    </w:p>
    <w:p w:rsidR="00FA1F4E" w:rsidRDefault="003B2CFF">
      <w:pPr>
        <w:pStyle w:val="afff"/>
        <w:numPr>
          <w:ilvl w:val="0"/>
          <w:numId w:val="20"/>
        </w:numPr>
      </w:pPr>
      <w:r>
        <w:t>Правила охраны линий и сооружений связи Российской Федерации, утвержденные постановлением Правительства Российской Федерации от 9 июня 1995 года № 578.</w:t>
      </w:r>
    </w:p>
    <w:p w:rsidR="00FA1F4E" w:rsidRDefault="003B2CFF">
      <w:pPr>
        <w:pStyle w:val="afff3"/>
        <w:spacing w:before="0" w:after="0"/>
        <w:ind w:firstLine="709"/>
      </w:pPr>
      <w:r>
        <w:t>В пределах охранных зон объектов инженерной инфраструктуры фактическое использование территорий соответствует установленным ограничениям использования территории в соответствии с действующим законодательством.</w:t>
      </w:r>
    </w:p>
    <w:p w:rsidR="00FA1F4E" w:rsidRDefault="00FA1F4E">
      <w:pPr>
        <w:pStyle w:val="afff3"/>
        <w:spacing w:before="0" w:after="0"/>
        <w:ind w:firstLine="709"/>
      </w:pPr>
    </w:p>
    <w:p w:rsidR="00FA1F4E" w:rsidRDefault="003B2CFF">
      <w:pPr>
        <w:rPr>
          <w:b/>
        </w:rPr>
      </w:pPr>
      <w:r>
        <w:rPr>
          <w:b/>
        </w:rPr>
        <w:t>Зона минимальных расстояний до магистральных или промышленных трубопроводов (газопроводов)</w:t>
      </w:r>
    </w:p>
    <w:p w:rsidR="00FA1F4E" w:rsidRDefault="003B2CFF">
      <w:r>
        <w:t>Южнее города Лодейное Поле расположены объекты магистральной газораспределительной сети, от которых установлены зоны минимальных расстояний:</w:t>
      </w:r>
    </w:p>
    <w:p w:rsidR="00FA1F4E" w:rsidRDefault="003B2CFF">
      <w:pPr>
        <w:pStyle w:val="afff"/>
        <w:numPr>
          <w:ilvl w:val="0"/>
          <w:numId w:val="21"/>
        </w:numPr>
      </w:pPr>
      <w:r>
        <w:t xml:space="preserve">зона минимальных расстояний до объекта «Имущественный комплекс Газопровод-отвод с ГРС к г. Лодейное Поле», </w:t>
      </w:r>
      <w:r>
        <w:rPr>
          <w:rFonts w:cs="Times New Roman"/>
          <w:szCs w:val="24"/>
          <w:lang w:eastAsia="ru-RU"/>
        </w:rPr>
        <w:t>сведения о которой внесены в Единый государственный реестр недвижимости (</w:t>
      </w:r>
      <w:r>
        <w:t>реестровый номер 47:06-6.421);</w:t>
      </w:r>
    </w:p>
    <w:p w:rsidR="00FA1F4E" w:rsidRDefault="003B2CFF">
      <w:pPr>
        <w:pStyle w:val="afff"/>
        <w:numPr>
          <w:ilvl w:val="0"/>
          <w:numId w:val="21"/>
        </w:numPr>
      </w:pPr>
      <w:r>
        <w:t xml:space="preserve">зона минимальных расстояний до объекта «Магистральный газопровод Волхов-Петрозаводск, нефтяные и газовые сооружения, протяженность 282,5 км Ленинградская область (70,1); Республика Карелия (29,9), инв. № 8316», </w:t>
      </w:r>
      <w:r>
        <w:rPr>
          <w:rFonts w:cs="Times New Roman"/>
          <w:szCs w:val="24"/>
          <w:lang w:eastAsia="ru-RU"/>
        </w:rPr>
        <w:t>сведения о которой внесены в Единый государственный реестр недвижимости (</w:t>
      </w:r>
      <w:r>
        <w:t>реестровый номер 47:05-6.400).</w:t>
      </w:r>
    </w:p>
    <w:p w:rsidR="00FA1F4E" w:rsidRDefault="003B2CFF">
      <w:r>
        <w:t>В пределах зон минимальных расстояний до магистральных газопроводов фактическое использование территорий в целом соответствует установленным ограничениям использования территории в соответствии с действующим законодательством.</w:t>
      </w:r>
    </w:p>
    <w:p w:rsidR="00FA1F4E" w:rsidRDefault="00FA1F4E"/>
    <w:p w:rsidR="00FA1F4E" w:rsidRDefault="003B2CFF">
      <w:pPr>
        <w:rPr>
          <w:b/>
        </w:rPr>
      </w:pPr>
      <w:r>
        <w:rPr>
          <w:b/>
        </w:rPr>
        <w:t>Зоны санитарной охраны источников водоснабжения</w:t>
      </w:r>
    </w:p>
    <w:p w:rsidR="00FA1F4E" w:rsidRDefault="003B2CFF">
      <w:pPr>
        <w:pStyle w:val="afff3"/>
        <w:spacing w:before="0" w:after="0"/>
        <w:ind w:firstLine="709"/>
      </w:pPr>
      <w:r>
        <w:t xml:space="preserve">В соответствии с пунктом 5 статьи 18 Федерального закона от 30 марта 1999 года №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w:t>
      </w:r>
      <w:r>
        <w:lastRenderedPageBreak/>
        <w:t>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FA1F4E" w:rsidRDefault="003B2CFF">
      <w:r>
        <w:t>Требования к режиму на территории зон санитарной охраны и их размерам для подземных источников водоснабжения установлены СанПиН 2.1.4.1110-02</w:t>
      </w:r>
      <w:r>
        <w:rPr>
          <w:rStyle w:val="af8"/>
        </w:rPr>
        <w:footnoteReference w:id="3"/>
      </w:r>
      <w:r>
        <w:t xml:space="preserve"> «Зоны санитарной охраны источников водоснабжения и водопроводов питьевого назначения».</w:t>
      </w:r>
    </w:p>
    <w:p w:rsidR="00FA1F4E" w:rsidRDefault="003B2CFF">
      <w:r>
        <w:t xml:space="preserve">Зоны санитарной охраны источника водоснабжения - р. Свирь для водозаборных очистных сооружений города Лодейное Поле Ленинградской области установлены в соответствии с санитарно-эпидемиологическим заключением № 47.10.04.000.Т.000038.07.10 от 29 июля 2010 года. Сведения о зонах санитарной охраны источников водоснабжения по Лодейнопольскому городскому поселению (водопользователь: ГУП «Леноблводоканал») утверждены распоряжением комитета по </w:t>
      </w:r>
      <w:r>
        <w:rPr>
          <w:bCs/>
        </w:rPr>
        <w:t xml:space="preserve">природным ресурсам Ленинградской области </w:t>
      </w:r>
      <w:r>
        <w:t>от 15 декабря 2021 года № 280.</w:t>
      </w:r>
    </w:p>
    <w:p w:rsidR="00FA1F4E" w:rsidRDefault="003B2CFF">
      <w:r>
        <w:t>В настоящее время сведения о данных зонах с особыми условиями использования территорий не внесены в ЕГРН, сведения о данных зонах на картах показаны на основании решений уполномоченных органов об их установлении. В пределах зон санитарной охраны источников водоснабжения характер использования территорий соответствует действующим ограничениям использования территории. В пределах первого пояса зон санитарной охраны образованы земельные участки, установлены ограждения.</w:t>
      </w:r>
    </w:p>
    <w:p w:rsidR="00FA1F4E" w:rsidRDefault="003B2CFF">
      <w:r>
        <w:t xml:space="preserve">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 </w:t>
      </w:r>
    </w:p>
    <w:p w:rsidR="00FA1F4E" w:rsidRDefault="003B2CFF">
      <w:r>
        <w:t xml:space="preserve">Целью мероприятий является сохранение постоянства природного состава воды в водозаборе путем устранения и предупреждения возможности ее загрязнения. </w:t>
      </w:r>
    </w:p>
    <w:p w:rsidR="00FA1F4E" w:rsidRDefault="003B2CFF">
      <w:r>
        <w:t xml:space="preserve">Мероприятия по первому поясу для подземных источников: </w:t>
      </w:r>
    </w:p>
    <w:p w:rsidR="00FA1F4E" w:rsidRDefault="003B2CFF">
      <w:pPr>
        <w:pStyle w:val="afff"/>
        <w:numPr>
          <w:ilvl w:val="0"/>
          <w:numId w:val="22"/>
        </w:numPr>
      </w:pPr>
      <w: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w:t>
      </w:r>
    </w:p>
    <w:p w:rsidR="00FA1F4E" w:rsidRDefault="003B2CFF">
      <w:pPr>
        <w:pStyle w:val="afff"/>
        <w:numPr>
          <w:ilvl w:val="0"/>
          <w:numId w:val="22"/>
        </w:numPr>
      </w:pPr>
      <w: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FA1F4E" w:rsidRDefault="003B2CFF">
      <w:pPr>
        <w:pStyle w:val="afff"/>
        <w:numPr>
          <w:ilvl w:val="0"/>
          <w:numId w:val="22"/>
        </w:numPr>
      </w:pPr>
      <w: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FA1F4E" w:rsidRDefault="003B2CFF">
      <w:pPr>
        <w:pStyle w:val="afff"/>
        <w:numPr>
          <w:ilvl w:val="0"/>
          <w:numId w:val="22"/>
        </w:numPr>
      </w:pPr>
      <w: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FA1F4E" w:rsidRDefault="003B2CFF">
      <w:pPr>
        <w:pStyle w:val="afff"/>
        <w:numPr>
          <w:ilvl w:val="0"/>
          <w:numId w:val="22"/>
        </w:numPr>
      </w:pPr>
      <w: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FA1F4E" w:rsidRDefault="003B2CFF">
      <w:pPr>
        <w:pStyle w:val="afff"/>
        <w:numPr>
          <w:ilvl w:val="0"/>
          <w:numId w:val="22"/>
        </w:numPr>
      </w:pPr>
      <w:r>
        <w:lastRenderedPageBreak/>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FA1F4E" w:rsidRDefault="003B2CFF">
      <w:r>
        <w:t xml:space="preserve">Мероприятия по второму и третьему поясам: </w:t>
      </w:r>
    </w:p>
    <w:p w:rsidR="00FA1F4E" w:rsidRDefault="003B2CFF">
      <w:pPr>
        <w:pStyle w:val="afff"/>
        <w:numPr>
          <w:ilvl w:val="0"/>
          <w:numId w:val="23"/>
        </w:numPr>
      </w:pPr>
      <w:r>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FA1F4E" w:rsidRDefault="003B2CFF">
      <w:pPr>
        <w:pStyle w:val="afff"/>
        <w:numPr>
          <w:ilvl w:val="0"/>
          <w:numId w:val="23"/>
        </w:numPr>
      </w:pPr>
      <w: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w:t>
      </w:r>
    </w:p>
    <w:p w:rsidR="00FA1F4E" w:rsidRDefault="003B2CFF">
      <w:pPr>
        <w:pStyle w:val="afff"/>
        <w:numPr>
          <w:ilvl w:val="0"/>
          <w:numId w:val="23"/>
        </w:numPr>
      </w:pPr>
      <w:r>
        <w:t xml:space="preserve">запрещение закачки отработанных вод в подземные горизонты, подземного складирования твердых отходов и разработки недр земли; </w:t>
      </w:r>
    </w:p>
    <w:p w:rsidR="00FA1F4E" w:rsidRDefault="003B2CFF">
      <w:pPr>
        <w:pStyle w:val="afff"/>
        <w:numPr>
          <w:ilvl w:val="0"/>
          <w:numId w:val="23"/>
        </w:numPr>
      </w:pPr>
      <w: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FA1F4E" w:rsidRDefault="003B2CFF">
      <w:pPr>
        <w:pStyle w:val="afff"/>
        <w:numPr>
          <w:ilvl w:val="0"/>
          <w:numId w:val="23"/>
        </w:numPr>
      </w:pPr>
      <w:r>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w:t>
      </w:r>
    </w:p>
    <w:p w:rsidR="00FA1F4E" w:rsidRDefault="003B2CFF">
      <w: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иные меры). </w:t>
      </w:r>
    </w:p>
    <w:p w:rsidR="00FA1F4E" w:rsidRDefault="003B2CFF">
      <w:r>
        <w:t xml:space="preserve">Не допускается: </w:t>
      </w:r>
    </w:p>
    <w:p w:rsidR="00FA1F4E" w:rsidRDefault="003B2CFF">
      <w:pPr>
        <w:pStyle w:val="afff"/>
        <w:numPr>
          <w:ilvl w:val="0"/>
          <w:numId w:val="24"/>
        </w:numPr>
      </w:pPr>
      <w: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w:t>
      </w:r>
    </w:p>
    <w:p w:rsidR="00FA1F4E" w:rsidRDefault="003B2CFF">
      <w:pPr>
        <w:pStyle w:val="afff"/>
        <w:numPr>
          <w:ilvl w:val="0"/>
          <w:numId w:val="24"/>
        </w:numPr>
      </w:pPr>
      <w:r>
        <w:t xml:space="preserve">применение удобрений и ядохимикатов; </w:t>
      </w:r>
    </w:p>
    <w:p w:rsidR="00FA1F4E" w:rsidRDefault="003B2CFF">
      <w:pPr>
        <w:pStyle w:val="afff"/>
        <w:numPr>
          <w:ilvl w:val="0"/>
          <w:numId w:val="24"/>
        </w:numPr>
      </w:pPr>
      <w:r>
        <w:t>рубка леса главного пользования и реконструкции.</w:t>
      </w:r>
    </w:p>
    <w:p w:rsidR="00FA1F4E" w:rsidRDefault="00FA1F4E"/>
    <w:p w:rsidR="00FA1F4E" w:rsidRDefault="003B2CFF">
      <w:pPr>
        <w:tabs>
          <w:tab w:val="left" w:pos="709"/>
          <w:tab w:val="left" w:pos="1777"/>
        </w:tabs>
        <w:rPr>
          <w:rFonts w:cs="Times New Roman"/>
          <w:b/>
          <w:szCs w:val="24"/>
          <w:lang w:eastAsia="ru-RU"/>
        </w:rPr>
      </w:pPr>
      <w:r>
        <w:rPr>
          <w:rFonts w:eastAsia="TimesNewRoman,BoldItalicOOEnc"/>
          <w:b/>
        </w:rPr>
        <w:t>Зоны охраняемого военного объекта, охранные зоны военного объекта, запретные и специальные зоны, устанавливаемые в связи с размещением указанных объектов</w:t>
      </w:r>
      <w:r>
        <w:rPr>
          <w:rFonts w:cs="Times New Roman"/>
          <w:b/>
          <w:szCs w:val="24"/>
          <w:lang w:eastAsia="ru-RU"/>
        </w:rPr>
        <w:t xml:space="preserve"> </w:t>
      </w:r>
    </w:p>
    <w:p w:rsidR="00FA1F4E" w:rsidRDefault="003B2CFF">
      <w:pPr>
        <w:tabs>
          <w:tab w:val="left" w:pos="709"/>
          <w:tab w:val="left" w:pos="1777"/>
        </w:tabs>
        <w:rPr>
          <w:rFonts w:cs="Times New Roman"/>
          <w:szCs w:val="24"/>
          <w:lang w:eastAsia="ru-RU"/>
        </w:rPr>
      </w:pPr>
      <w:r>
        <w:rPr>
          <w:rFonts w:cs="Times New Roman"/>
          <w:szCs w:val="24"/>
          <w:lang w:eastAsia="ru-RU"/>
        </w:rPr>
        <w:t xml:space="preserve">На территории Хвойного лесничества установлена зона с особыми условиями использования территорий в соответствии с постановлением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запретная зона военного объекта - Хвойное лесничество Министерства обороны Российской Федерации (запретный район при военном складе), сведения о которой внесены в Единый государственный реестр недвижимости (реестровый номер </w:t>
      </w:r>
      <w:r>
        <w:rPr>
          <w:rFonts w:cs="Times New Roman"/>
          <w:szCs w:val="24"/>
          <w:shd w:val="clear" w:color="auto" w:fill="FFFFFF"/>
        </w:rPr>
        <w:t>47.06.2.70</w:t>
      </w:r>
      <w:r>
        <w:rPr>
          <w:rFonts w:cs="Times New Roman"/>
          <w:szCs w:val="24"/>
          <w:lang w:eastAsia="ru-RU"/>
        </w:rPr>
        <w:t>).</w:t>
      </w:r>
    </w:p>
    <w:p w:rsidR="00FA1F4E" w:rsidRDefault="003B2CFF">
      <w:pPr>
        <w:rPr>
          <w:rFonts w:cs="Times New Roman"/>
          <w:szCs w:val="24"/>
          <w:lang w:eastAsia="ru-RU"/>
        </w:rPr>
      </w:pPr>
      <w:r>
        <w:rPr>
          <w:rFonts w:cs="Times New Roman"/>
          <w:szCs w:val="24"/>
          <w:lang w:eastAsia="ru-RU"/>
        </w:rPr>
        <w:lastRenderedPageBreak/>
        <w:t>На основании решения Арбитражного суда Санкт-Петербурга и Ленинградской области от 30.08.2018 по делу № А56-15966/2017 признано отсутствующим ограничение в виде запретной зоны земельного участка с кадастровым номером 47:06:0000000:7285</w:t>
      </w:r>
      <w:r>
        <w:rPr>
          <w:rStyle w:val="af8"/>
          <w:rFonts w:cs="Times New Roman"/>
          <w:szCs w:val="24"/>
          <w:lang w:eastAsia="ru-RU"/>
        </w:rPr>
        <w:footnoteReference w:id="4"/>
      </w:r>
      <w:r>
        <w:rPr>
          <w:rFonts w:cs="Times New Roman"/>
          <w:szCs w:val="24"/>
          <w:lang w:eastAsia="ru-RU"/>
        </w:rPr>
        <w:t>.</w:t>
      </w:r>
    </w:p>
    <w:p w:rsidR="00FA1F4E" w:rsidRDefault="003B2CFF">
      <w:r>
        <w:rPr>
          <w:rFonts w:cs="Times New Roman"/>
          <w:szCs w:val="24"/>
          <w:lang w:eastAsia="ru-RU"/>
        </w:rPr>
        <w:t>На основании решения Арбитражного суда Санкт-Петербурга и Ленинградской области от 25.12.2019 по делу № А56-94011/2019 признано отсутствующим ограничение в виде запретной зоны военного объекта в отношении земельного участка с кадастровым номером 47:06:0407001:662.</w:t>
      </w:r>
    </w:p>
    <w:p w:rsidR="00FA1F4E" w:rsidRDefault="003B2CFF">
      <w:pPr>
        <w:rPr>
          <w:rFonts w:cs="Times New Roman"/>
          <w:szCs w:val="24"/>
          <w:lang w:eastAsia="ru-RU"/>
        </w:rPr>
      </w:pPr>
      <w:r>
        <w:t xml:space="preserve">В настоящее время в связи с решениями Арбитражного суда изменения в границу </w:t>
      </w:r>
      <w:r>
        <w:rPr>
          <w:rFonts w:cs="Times New Roman"/>
          <w:szCs w:val="24"/>
          <w:lang w:eastAsia="ru-RU"/>
        </w:rPr>
        <w:t xml:space="preserve">запретной зоны военного объекта в ЕГРН не внесены. </w:t>
      </w:r>
      <w:r>
        <w:t xml:space="preserve">На карте «Карта современного использования территории. Карта зон с особыми условиями использования территорий. Карта объектов культурного наследия» показаны два варианта </w:t>
      </w:r>
      <w:r>
        <w:rPr>
          <w:rFonts w:cs="Times New Roman"/>
          <w:szCs w:val="24"/>
          <w:lang w:eastAsia="ru-RU"/>
        </w:rPr>
        <w:t>запретной зоны военного объекта: в соответствии со сведениями, внесенными в ЕГРН и второй вариант, который вступит в силу после внесения изменений в границы зоны с особыми условиями использования территории с учетом решений Арбитражного суда.</w:t>
      </w:r>
    </w:p>
    <w:p w:rsidR="00FA1F4E" w:rsidRDefault="003B2CFF">
      <w:pPr>
        <w:rPr>
          <w:rFonts w:cs="Times New Roman"/>
          <w:szCs w:val="24"/>
          <w:lang w:eastAsia="ru-RU"/>
        </w:rPr>
      </w:pPr>
      <w:r>
        <w:rPr>
          <w:rFonts w:cs="Times New Roman"/>
          <w:szCs w:val="24"/>
          <w:lang w:eastAsia="ru-RU"/>
        </w:rPr>
        <w:t xml:space="preserve">В границах запретной зоны военного объекта, сведения о которых внесены в ЕГРН, расположены объекты жилого и нежилого назначения в составе бывшего военного городка, которые на основании приказа Министра обороны Российской Федерации от 9 октября 2012 года № 3193 переданы </w:t>
      </w:r>
      <w:r>
        <w:t>из федеральной собственности в собственность муниципального образования Лодейнопольский муниципальный район Ленинградской области и в собствен</w:t>
      </w:r>
      <w:r>
        <w:softHyphen/>
        <w:t>ность Лодейнопольского городского поселения Лодейнопольского муниципального района Ленинградской области</w:t>
      </w:r>
      <w:r>
        <w:rPr>
          <w:rFonts w:cs="Times New Roman"/>
          <w:szCs w:val="24"/>
          <w:lang w:eastAsia="ru-RU"/>
        </w:rPr>
        <w:t>, в том числе:</w:t>
      </w:r>
    </w:p>
    <w:p w:rsidR="00FA1F4E" w:rsidRDefault="003B2CFF">
      <w:pPr>
        <w:pStyle w:val="afff"/>
        <w:numPr>
          <w:ilvl w:val="0"/>
          <w:numId w:val="25"/>
        </w:numPr>
        <w:rPr>
          <w:rFonts w:cs="Times New Roman"/>
          <w:szCs w:val="24"/>
          <w:lang w:eastAsia="ru-RU"/>
        </w:rPr>
      </w:pPr>
      <w:r>
        <w:rPr>
          <w:rFonts w:cs="Times New Roman"/>
          <w:szCs w:val="24"/>
          <w:lang w:eastAsia="ru-RU"/>
        </w:rPr>
        <w:t>здание детского сада (в настоящее время в здании расположен Геронтологический центр);</w:t>
      </w:r>
    </w:p>
    <w:p w:rsidR="00FA1F4E" w:rsidRDefault="003B2CFF">
      <w:pPr>
        <w:pStyle w:val="afff"/>
        <w:numPr>
          <w:ilvl w:val="0"/>
          <w:numId w:val="25"/>
        </w:numPr>
        <w:rPr>
          <w:rFonts w:cs="Times New Roman"/>
          <w:szCs w:val="24"/>
          <w:lang w:eastAsia="ru-RU"/>
        </w:rPr>
      </w:pPr>
      <w:r>
        <w:rPr>
          <w:rFonts w:cs="Times New Roman"/>
          <w:szCs w:val="24"/>
          <w:lang w:eastAsia="ru-RU"/>
        </w:rPr>
        <w:t>клуб офицерский;</w:t>
      </w:r>
    </w:p>
    <w:p w:rsidR="00FA1F4E" w:rsidRDefault="003B2CFF">
      <w:pPr>
        <w:pStyle w:val="afff"/>
        <w:numPr>
          <w:ilvl w:val="0"/>
          <w:numId w:val="25"/>
        </w:numPr>
        <w:rPr>
          <w:rFonts w:cs="Times New Roman"/>
          <w:szCs w:val="24"/>
          <w:lang w:eastAsia="ru-RU"/>
        </w:rPr>
      </w:pPr>
      <w:r>
        <w:rPr>
          <w:rFonts w:cs="Times New Roman"/>
          <w:szCs w:val="24"/>
          <w:lang w:eastAsia="ru-RU"/>
        </w:rPr>
        <w:t>казарма № 26 общей площадью 2040 кв. м (по адресу: военный городок № 3, воинская часть 23438, д. 26);</w:t>
      </w:r>
    </w:p>
    <w:p w:rsidR="00FA1F4E" w:rsidRDefault="003B2CFF">
      <w:pPr>
        <w:pStyle w:val="afff"/>
        <w:numPr>
          <w:ilvl w:val="0"/>
          <w:numId w:val="25"/>
        </w:numPr>
        <w:rPr>
          <w:rFonts w:cs="Times New Roman"/>
          <w:szCs w:val="24"/>
          <w:lang w:eastAsia="ru-RU"/>
        </w:rPr>
      </w:pPr>
      <w:r>
        <w:rPr>
          <w:rFonts w:cs="Times New Roman"/>
          <w:szCs w:val="24"/>
          <w:lang w:eastAsia="ru-RU"/>
        </w:rPr>
        <w:t>казарма № 25 общей площадью 2040 кв. м (по адресу: военный городок № 3, воинская часть 23438, д. 24);</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21 (общей площадью 110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23 (общей площадью 110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24 (общей площадью 110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25 (общей площадью 110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4 (общей площадью 1841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5 (общей площадью 2465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1 (общей площадью 2469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6 (общей площадью 2144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 (общей площадью 1852 кв. м);</w:t>
      </w:r>
    </w:p>
    <w:p w:rsidR="00FA1F4E" w:rsidRDefault="003B2CFF">
      <w:pPr>
        <w:pStyle w:val="afff"/>
        <w:numPr>
          <w:ilvl w:val="0"/>
          <w:numId w:val="25"/>
        </w:numPr>
        <w:rPr>
          <w:rFonts w:cs="Times New Roman"/>
          <w:szCs w:val="24"/>
          <w:lang w:eastAsia="ru-RU"/>
        </w:rPr>
      </w:pPr>
      <w:r>
        <w:rPr>
          <w:rFonts w:cs="Times New Roman"/>
          <w:szCs w:val="24"/>
          <w:lang w:eastAsia="ru-RU"/>
        </w:rPr>
        <w:lastRenderedPageBreak/>
        <w:t>многоквартирный жилой дом за исключением служебных и приватизированных квартир по ул. Талалихина, 9 (общей площадью 4290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10 (общей площадью 4298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11 (общей площадью 4269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7 (общей площадью 2100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8 (общей площадью 2237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12 (общей площадью 3909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26 (общей площадью 110 кв. м);</w:t>
      </w:r>
    </w:p>
    <w:p w:rsidR="00FA1F4E" w:rsidRDefault="003B2CFF">
      <w:pPr>
        <w:pStyle w:val="afff"/>
        <w:numPr>
          <w:ilvl w:val="0"/>
          <w:numId w:val="25"/>
        </w:numPr>
        <w:rPr>
          <w:rFonts w:cs="Times New Roman"/>
          <w:szCs w:val="24"/>
          <w:lang w:eastAsia="ru-RU"/>
        </w:rPr>
      </w:pPr>
      <w:r>
        <w:rPr>
          <w:rFonts w:cs="Times New Roman"/>
          <w:szCs w:val="24"/>
          <w:lang w:eastAsia="ru-RU"/>
        </w:rPr>
        <w:t>многоквартирный жилой дом за исключением служебных и приватизированных квартир по ул. Талалихина, 22 (общей площадью 110 кв. м);</w:t>
      </w:r>
    </w:p>
    <w:p w:rsidR="00FA1F4E" w:rsidRDefault="003B2CFF">
      <w:pPr>
        <w:pStyle w:val="afff"/>
        <w:numPr>
          <w:ilvl w:val="0"/>
          <w:numId w:val="25"/>
        </w:numPr>
        <w:rPr>
          <w:rFonts w:cs="Times New Roman"/>
          <w:szCs w:val="24"/>
          <w:lang w:eastAsia="ru-RU"/>
        </w:rPr>
      </w:pPr>
      <w:r>
        <w:rPr>
          <w:rFonts w:cs="Times New Roman"/>
          <w:szCs w:val="24"/>
          <w:lang w:eastAsia="ru-RU"/>
        </w:rPr>
        <w:t>иные объекты нежилого назначения: гаражи, 2 здания штаба, пункт технического обслуживания, пожарное депо, 2 овощехранилища, комендатура, контрольно-технический пункт, столовая, 2 склада, 2 артезианские скважины, очистные сооружения (2 объекта), хлораторная (2 объекта), тепловые сети, водопроводные сети, канализационные сети, насосная станция № 94, блок-модульная газовая котельная, котельная № 28, котельная № 88, трансформаторная подстанция (2 объекта), водонапорная башня № 55, баня-прачечная № 80.</w:t>
      </w:r>
    </w:p>
    <w:p w:rsidR="00FA1F4E" w:rsidRDefault="00FA1F4E">
      <w:pPr>
        <w:rPr>
          <w:rFonts w:cs="Times New Roman"/>
          <w:szCs w:val="24"/>
          <w:lang w:eastAsia="ru-RU"/>
        </w:rPr>
      </w:pPr>
    </w:p>
    <w:p w:rsidR="00FA1F4E" w:rsidRDefault="003B2CFF">
      <w:pPr>
        <w:rPr>
          <w:b/>
        </w:rPr>
      </w:pPr>
      <w:r>
        <w:rPr>
          <w:b/>
        </w:rPr>
        <w:t>Придорожная полоса</w:t>
      </w:r>
    </w:p>
    <w:p w:rsidR="00FA1F4E" w:rsidRDefault="003B2CFF">
      <w:pPr>
        <w:pStyle w:val="afff3"/>
        <w:spacing w:before="0" w:after="0"/>
        <w:ind w:firstLine="709"/>
      </w:pPr>
      <w:r>
        <w:t xml:space="preserve">Ограничения использования земельных участков и объектов капитального строительства в пределах придорожных полос автомобильных дорог общего пользования установлены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p w:rsidR="00FA1F4E" w:rsidRDefault="003B2CFF">
      <w:pPr>
        <w:pStyle w:val="afff3"/>
        <w:spacing w:before="0" w:after="0"/>
        <w:ind w:firstLine="709"/>
      </w:pPr>
      <w:r>
        <w:t>В соответствии с распоряжением Росавтодора от 9 июня 2014 № 1123–р «Об установлении границ придорожных полос автомобильной дороги общего пользования федерального значения Р–21 «Кола» Санкт – Петербург – Петрозаводск – Мурманск – Печенега – граница с Королевством Норвегия км 12+230–км 260+766» установлены границы придорожных полос автомобильной дороги общего пользования федерального значения Р–21 «Кола» Санкт-Петербург – Петрозаводск – Мурманск – Печенега – граница с Королевством Норвегия на участках: км 178+724 – км 260+766 (Лодейнопольский муниципальный район, Ленинградская область). Ширина придорожной полосы автомобильной дороги общего пользования федерального значения Р–21 «Кола» Санкт-Петербург – Петрозаводск – Мурманск – Печенега – граница с Королевством Норвегия составляет 100 м.</w:t>
      </w:r>
    </w:p>
    <w:p w:rsidR="00FA1F4E" w:rsidRDefault="003B2CFF">
      <w:pPr>
        <w:pStyle w:val="afff3"/>
        <w:spacing w:before="0" w:after="0"/>
        <w:ind w:firstLine="709"/>
      </w:pPr>
      <w:r>
        <w:rPr>
          <w:rFonts w:eastAsia="SimSun"/>
          <w:color w:val="000000"/>
          <w:shd w:val="clear" w:color="auto" w:fill="FFFFFF"/>
        </w:rPr>
        <w:t xml:space="preserve">Придорожные полосы автомобильных дорог регионального значения и местного значения муниципального района для автомобильных дорог, расположенных в границах населенных пунктов, не устанавливаются в соответствии со статьей 26 </w:t>
      </w:r>
      <w:r>
        <w:t>Федерального закона от 8 ноября 2007 года № 257-ФЗ.</w:t>
      </w:r>
    </w:p>
    <w:p w:rsidR="00FA1F4E" w:rsidRDefault="003B2CFF">
      <w:r>
        <w:t>Земельные участки с объектами, размещение которых ограничено или запрещено в связи с особым режимом в придорожной полосе автомобильных дорог, отсутствуют.</w:t>
      </w:r>
    </w:p>
    <w:p w:rsidR="00FA1F4E" w:rsidRDefault="00FA1F4E"/>
    <w:p w:rsidR="00FA1F4E" w:rsidRDefault="003B2CFF">
      <w:pPr>
        <w:rPr>
          <w:b/>
        </w:rPr>
      </w:pPr>
      <w:r>
        <w:rPr>
          <w:b/>
        </w:rPr>
        <w:t>Водоохранные зоны, прибрежные защитные полосы, береговая полоса</w:t>
      </w:r>
    </w:p>
    <w:p w:rsidR="00FA1F4E" w:rsidRDefault="003B2CFF">
      <w:r>
        <w:t>От водных объектов, расположенных на рассматриваемой территории, в соответствии с Водным кодексом Российской Федерации установлены следующие водоохранные зоны, прибрежные защитные полосы (сведения в ЕГРН не внесены):</w:t>
      </w:r>
    </w:p>
    <w:p w:rsidR="00FA1F4E" w:rsidRDefault="003B2CFF">
      <w:pPr>
        <w:pStyle w:val="afff"/>
        <w:numPr>
          <w:ilvl w:val="0"/>
          <w:numId w:val="26"/>
        </w:numPr>
        <w:rPr>
          <w:rFonts w:cs="Times New Roman"/>
          <w:szCs w:val="24"/>
          <w:lang w:eastAsia="ru-RU"/>
        </w:rPr>
      </w:pPr>
      <w:r>
        <w:rPr>
          <w:rFonts w:cs="Times New Roman"/>
          <w:szCs w:val="24"/>
          <w:lang w:eastAsia="ru-RU"/>
        </w:rPr>
        <w:t>водоохранная зона р. Свирь (общая длина водотока 224 км) – 200 метров;</w:t>
      </w:r>
    </w:p>
    <w:p w:rsidR="00FA1F4E" w:rsidRDefault="003B2CFF">
      <w:pPr>
        <w:pStyle w:val="afff"/>
        <w:numPr>
          <w:ilvl w:val="0"/>
          <w:numId w:val="26"/>
        </w:numPr>
      </w:pPr>
      <w:r>
        <w:rPr>
          <w:rFonts w:cs="Times New Roman"/>
          <w:szCs w:val="24"/>
          <w:lang w:eastAsia="ru-RU"/>
        </w:rPr>
        <w:lastRenderedPageBreak/>
        <w:t>водоохранные зоны р. Каномка (общая длина водотока 22 км) и р. Луданка (общая длина водотока 11 км) – 100 метров;</w:t>
      </w:r>
    </w:p>
    <w:p w:rsidR="00FA1F4E" w:rsidRDefault="003B2CFF">
      <w:pPr>
        <w:pStyle w:val="afff"/>
        <w:numPr>
          <w:ilvl w:val="0"/>
          <w:numId w:val="26"/>
        </w:numPr>
      </w:pPr>
      <w:r>
        <w:rPr>
          <w:rFonts w:cs="Times New Roman"/>
          <w:szCs w:val="24"/>
          <w:lang w:eastAsia="ru-RU"/>
        </w:rPr>
        <w:t>водоохранная зона ручья Гнилой, а также рек, ручьев, протяженностью менее 10 км – 50 метров;</w:t>
      </w:r>
    </w:p>
    <w:p w:rsidR="00FA1F4E" w:rsidRDefault="003B2CFF">
      <w:pPr>
        <w:pStyle w:val="afff"/>
        <w:numPr>
          <w:ilvl w:val="0"/>
          <w:numId w:val="26"/>
        </w:numPr>
        <w:rPr>
          <w:rFonts w:cs="Times New Roman"/>
          <w:szCs w:val="24"/>
          <w:lang w:eastAsia="ru-RU"/>
        </w:rPr>
      </w:pPr>
      <w:r>
        <w:rPr>
          <w:rFonts w:cs="Times New Roman"/>
          <w:szCs w:val="24"/>
          <w:lang w:eastAsia="ru-RU"/>
        </w:rPr>
        <w:t>прибрежная защитная полоса р. Свирь, р. Каномка, р. Луданка – 50 метров;</w:t>
      </w:r>
    </w:p>
    <w:p w:rsidR="00FA1F4E" w:rsidRDefault="003B2CFF">
      <w:pPr>
        <w:pStyle w:val="afff"/>
        <w:numPr>
          <w:ilvl w:val="0"/>
          <w:numId w:val="26"/>
        </w:numPr>
        <w:rPr>
          <w:rFonts w:cs="Times New Roman"/>
          <w:szCs w:val="24"/>
          <w:lang w:eastAsia="ru-RU"/>
        </w:rPr>
      </w:pPr>
      <w:r>
        <w:rPr>
          <w:rFonts w:cs="Times New Roman"/>
          <w:szCs w:val="24"/>
          <w:lang w:eastAsia="ru-RU"/>
        </w:rPr>
        <w:t>водоохранная зона оз. Озёрко – 50 метров.</w:t>
      </w:r>
    </w:p>
    <w:p w:rsidR="00FA1F4E" w:rsidRDefault="003B2CFF">
      <w: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FA1F4E" w:rsidRDefault="003B2CFF">
      <w: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rsidR="00FA1F4E" w:rsidRDefault="003B2CFF">
      <w: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 В настоящее время сведения о данных зонах с особыми условиями использования территорий не внесены в ЕГРН, сведения о данных зонах показаны на картах справочно.</w:t>
      </w:r>
    </w:p>
    <w:p w:rsidR="00FA1F4E" w:rsidRDefault="003B2CFF">
      <w:r>
        <w:t>Использование, охрана и защита территорий в границах водоохранных зон,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от 10 января 2002 года № 7-ФЗ «Об охране окружающей среды»,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FA1F4E" w:rsidRDefault="003B2CFF">
      <w:r>
        <w:t xml:space="preserve">В границах водоохранных зон запрещаются: </w:t>
      </w:r>
    </w:p>
    <w:p w:rsidR="00FA1F4E" w:rsidRDefault="003B2CFF">
      <w:pPr>
        <w:pStyle w:val="afff"/>
        <w:numPr>
          <w:ilvl w:val="0"/>
          <w:numId w:val="27"/>
        </w:numPr>
      </w:pPr>
      <w:r>
        <w:t xml:space="preserve">использование сточных вод в целях регулирования плодородия почв; </w:t>
      </w:r>
    </w:p>
    <w:p w:rsidR="00FA1F4E" w:rsidRDefault="003B2CFF">
      <w:pPr>
        <w:pStyle w:val="afff"/>
        <w:numPr>
          <w:ilvl w:val="0"/>
          <w:numId w:val="27"/>
        </w:numPr>
      </w:pPr>
      <w: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FA1F4E" w:rsidRDefault="003B2CFF">
      <w:pPr>
        <w:pStyle w:val="afff"/>
        <w:numPr>
          <w:ilvl w:val="0"/>
          <w:numId w:val="27"/>
        </w:numPr>
      </w:pPr>
      <w:r>
        <w:t xml:space="preserve">осуществление авиационных мер по борьбе с вредными организмами; </w:t>
      </w:r>
    </w:p>
    <w:p w:rsidR="00FA1F4E" w:rsidRDefault="003B2CFF">
      <w:pPr>
        <w:pStyle w:val="afff"/>
        <w:numPr>
          <w:ilvl w:val="0"/>
          <w:numId w:val="27"/>
        </w:numPr>
      </w:pPr>
      <w: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FA1F4E" w:rsidRDefault="003B2CFF">
      <w:pPr>
        <w:pStyle w:val="afff"/>
        <w:numPr>
          <w:ilvl w:val="0"/>
          <w:numId w:val="27"/>
        </w:numPr>
      </w:pPr>
      <w:r>
        <w:t xml:space="preserve">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FA1F4E" w:rsidRDefault="003B2CFF">
      <w:pPr>
        <w:pStyle w:val="afff"/>
        <w:numPr>
          <w:ilvl w:val="0"/>
          <w:numId w:val="27"/>
        </w:numPr>
      </w:pPr>
      <w:r>
        <w:t xml:space="preserve">размещение специализированных хранилищ пестицидов и агрохимикатов, применение пестицидов и агрохимикатов; </w:t>
      </w:r>
    </w:p>
    <w:p w:rsidR="00FA1F4E" w:rsidRDefault="003B2CFF">
      <w:pPr>
        <w:pStyle w:val="afff"/>
        <w:numPr>
          <w:ilvl w:val="0"/>
          <w:numId w:val="27"/>
        </w:numPr>
      </w:pPr>
      <w:r>
        <w:t xml:space="preserve">сброс сточных, в том числе дренажных, вод; </w:t>
      </w:r>
    </w:p>
    <w:p w:rsidR="00FA1F4E" w:rsidRDefault="003B2CFF">
      <w:pPr>
        <w:pStyle w:val="afff"/>
        <w:numPr>
          <w:ilvl w:val="0"/>
          <w:numId w:val="27"/>
        </w:numPr>
      </w:pPr>
      <w:r>
        <w:t xml:space="preserve">разведка и добыча общераспространенных полезных ископаемых. </w:t>
      </w:r>
    </w:p>
    <w:p w:rsidR="00FA1F4E" w:rsidRDefault="003B2CFF">
      <w:r>
        <w:t xml:space="preserve">В границах прибрежных защитных полос наряду с вышеперечисленными ограничениями запрещаются: </w:t>
      </w:r>
    </w:p>
    <w:p w:rsidR="00FA1F4E" w:rsidRDefault="003B2CFF">
      <w:pPr>
        <w:pStyle w:val="afff"/>
        <w:numPr>
          <w:ilvl w:val="0"/>
          <w:numId w:val="28"/>
        </w:numPr>
      </w:pPr>
      <w:r>
        <w:t xml:space="preserve">распашка земель; </w:t>
      </w:r>
    </w:p>
    <w:p w:rsidR="00FA1F4E" w:rsidRDefault="003B2CFF">
      <w:pPr>
        <w:pStyle w:val="afff"/>
        <w:numPr>
          <w:ilvl w:val="0"/>
          <w:numId w:val="28"/>
        </w:numPr>
      </w:pPr>
      <w:r>
        <w:t xml:space="preserve">размещение отвалов размываемых грунтов; </w:t>
      </w:r>
    </w:p>
    <w:p w:rsidR="00FA1F4E" w:rsidRDefault="003B2CFF">
      <w:pPr>
        <w:pStyle w:val="afff"/>
        <w:numPr>
          <w:ilvl w:val="0"/>
          <w:numId w:val="28"/>
        </w:numPr>
      </w:pPr>
      <w:r>
        <w:t xml:space="preserve">выпас сельскохозяйственных животных и организация для них летних лагерей, ванн. </w:t>
      </w:r>
    </w:p>
    <w:p w:rsidR="00FA1F4E" w:rsidRDefault="003B2CFF">
      <w: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lastRenderedPageBreak/>
        <w:t xml:space="preserve">засорения и истощения вод в соответствии с водным законодательством и законодательством в области охраны окружающей среды. </w:t>
      </w:r>
    </w:p>
    <w:p w:rsidR="00FA1F4E" w:rsidRDefault="003B2CFF">
      <w: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 </w:t>
      </w:r>
    </w:p>
    <w:p w:rsidR="00FA1F4E" w:rsidRDefault="003B2CFF">
      <w:r>
        <w:t>Согласно частям 16.1, 16.2 и 16.3 Водного кодекса Российской Федерации:</w:t>
      </w:r>
    </w:p>
    <w:p w:rsidR="00FA1F4E" w:rsidRDefault="003B2CFF">
      <w:pPr>
        <w:pStyle w:val="afff"/>
        <w:numPr>
          <w:ilvl w:val="0"/>
          <w:numId w:val="29"/>
        </w:numPr>
      </w:pPr>
      <w: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rsidR="00FA1F4E" w:rsidRDefault="003B2CFF">
      <w:pPr>
        <w:pStyle w:val="afff"/>
        <w:numPr>
          <w:ilvl w:val="0"/>
          <w:numId w:val="29"/>
        </w:numPr>
      </w:pPr>
      <w: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w:t>
      </w:r>
    </w:p>
    <w:p w:rsidR="00FA1F4E" w:rsidRDefault="003B2CFF">
      <w:pPr>
        <w:pStyle w:val="afff"/>
        <w:numPr>
          <w:ilvl w:val="0"/>
          <w:numId w:val="29"/>
        </w:numPr>
      </w:pPr>
      <w: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FA1F4E" w:rsidRDefault="00FA1F4E"/>
    <w:p w:rsidR="00FA1F4E" w:rsidRDefault="003B2CFF">
      <w:pPr>
        <w:rPr>
          <w:b/>
        </w:rPr>
      </w:pPr>
      <w:r>
        <w:rPr>
          <w:b/>
        </w:rPr>
        <w:t xml:space="preserve">Зоны затопления и подтопления </w:t>
      </w:r>
    </w:p>
    <w:p w:rsidR="00FA1F4E" w:rsidRDefault="003B2CFF">
      <w:r>
        <w:t>В соответствии с постановлением Правительства Российской Федерации от 18 апреля 2014 года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закона «О землеустройстве». На территории, применительно к которой подготовлен генеральный план, установлены зоны затопления, подтопления:</w:t>
      </w:r>
    </w:p>
    <w:p w:rsidR="00FA1F4E" w:rsidRDefault="003B2CFF">
      <w:pPr>
        <w:pStyle w:val="afff"/>
        <w:numPr>
          <w:ilvl w:val="0"/>
          <w:numId w:val="30"/>
        </w:numPr>
      </w:pPr>
      <w:r>
        <w:t>зона затопления в отношении территорий, прилегающих к реке Каномка в г. Лодейное поле, затапливаемых при половодьях и паводках однопроцентной обеспеченности (повторяемость один раз в 100 лет), реестровый номер объекта в ЕГРН 47:06-6.166, учетный номер 47.06.2.143;</w:t>
      </w:r>
    </w:p>
    <w:p w:rsidR="00FA1F4E" w:rsidRDefault="003B2CFF">
      <w:pPr>
        <w:pStyle w:val="afff"/>
        <w:numPr>
          <w:ilvl w:val="0"/>
          <w:numId w:val="30"/>
        </w:numPr>
      </w:pPr>
      <w:r>
        <w:t>зона затопления Нижне-Свирского водохранилища, нижний бьеф (проект)</w:t>
      </w:r>
      <w:r>
        <w:rPr>
          <w:rStyle w:val="af8"/>
        </w:rPr>
        <w:footnoteReference w:id="5"/>
      </w:r>
      <w:r>
        <w:t>.</w:t>
      </w:r>
    </w:p>
    <w:p w:rsidR="00FA1F4E" w:rsidRDefault="003B2CFF">
      <w:r>
        <w:t>В границах зоны затопления расположена небольшая часть сложившейся зоны застройки индивидуальными жилыми домами (по Речной ул., Каномскому пер., Паромному пер.), трансформаторная подстанция (земельный участок с кадастровым номером 47:06:0101002:859), а также территория базы отдыха (земельный участок с кадастровым номером 47:06:0101001:122).</w:t>
      </w:r>
    </w:p>
    <w:p w:rsidR="00FA1F4E" w:rsidRDefault="003B2CFF">
      <w:pPr>
        <w:pStyle w:val="afff3"/>
        <w:spacing w:before="0" w:after="0"/>
        <w:ind w:firstLine="709"/>
      </w:pPr>
      <w:r>
        <w:t>В соответствии с частью 6 статьи 67.1 Водного кодекса Российской Федерации в границах зон затопления, подтопления запрещаются:</w:t>
      </w:r>
    </w:p>
    <w:p w:rsidR="00FA1F4E" w:rsidRDefault="003B2CFF">
      <w:pPr>
        <w:pStyle w:val="afff3"/>
        <w:numPr>
          <w:ilvl w:val="0"/>
          <w:numId w:val="31"/>
        </w:numPr>
        <w:spacing w:before="0" w:after="0"/>
      </w:pPr>
      <w:r>
        <w:lastRenderedPageBreak/>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FA1F4E" w:rsidRDefault="003B2CFF">
      <w:pPr>
        <w:pStyle w:val="afff3"/>
        <w:numPr>
          <w:ilvl w:val="0"/>
          <w:numId w:val="31"/>
        </w:numPr>
        <w:spacing w:before="0" w:after="0"/>
      </w:pPr>
      <w:r>
        <w:t>использование сточных вод в целях регулирования плодородия почв;</w:t>
      </w:r>
    </w:p>
    <w:p w:rsidR="00FA1F4E" w:rsidRDefault="003B2CFF">
      <w:pPr>
        <w:pStyle w:val="afff3"/>
        <w:numPr>
          <w:ilvl w:val="0"/>
          <w:numId w:val="31"/>
        </w:numPr>
        <w:spacing w:before="0" w:after="0"/>
      </w:pPr>
      <w: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FA1F4E" w:rsidRDefault="003B2CFF">
      <w:pPr>
        <w:pStyle w:val="afff3"/>
        <w:numPr>
          <w:ilvl w:val="0"/>
          <w:numId w:val="31"/>
        </w:numPr>
        <w:spacing w:before="0" w:after="0"/>
      </w:pPr>
      <w:r>
        <w:t>осуществление авиационных мер по борьбе с вредными организмами.</w:t>
      </w:r>
    </w:p>
    <w:p w:rsidR="00FA1F4E" w:rsidRDefault="00FA1F4E"/>
    <w:p w:rsidR="00FA1F4E" w:rsidRDefault="003B2CFF">
      <w:pPr>
        <w:pStyle w:val="afff3"/>
        <w:spacing w:before="0" w:after="0"/>
        <w:ind w:firstLine="709"/>
        <w:rPr>
          <w:b/>
        </w:rPr>
      </w:pPr>
      <w:r>
        <w:rPr>
          <w:b/>
        </w:rPr>
        <w:t xml:space="preserve">Зоны с особыми условиями использования территорий объектов культурного наследия </w:t>
      </w:r>
    </w:p>
    <w:p w:rsidR="00FA1F4E" w:rsidRDefault="003B2CFF">
      <w:pPr>
        <w:pStyle w:val="afff3"/>
        <w:spacing w:before="0" w:after="0"/>
        <w:ind w:firstLine="709"/>
      </w:pPr>
      <w:r>
        <w:t xml:space="preserve">В соответствии с требованиями статьи 34.1 Федерального закона от 25 июня 2002 года № 73-ФЗ «Об объектах культурного наследия (памятниках истории и культуры) народов Российской Федерации» </w:t>
      </w:r>
      <w:r>
        <w:rPr>
          <w:b/>
        </w:rPr>
        <w:t>защитными зонами объектов культурного наследия</w:t>
      </w:r>
      <w:r>
        <w:t xml:space="preserve"> являются территории, которые прилегают к включенным в реестр памятникам и ансамблям (за исключением указанных в части 2 статьи 34.1 Федерального закона от 25 июня 2002 года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A1F4E" w:rsidRDefault="003B2CFF">
      <w:pPr>
        <w:pStyle w:val="afff3"/>
        <w:spacing w:before="0" w:after="0"/>
        <w:ind w:firstLine="709"/>
      </w:pPr>
      <w:r>
        <w:t>В соответствии с частью 2 статьи 34.1 Федерального закона от 25 июня 2002 года № 73-ФЗ «Об объектах культурного наследия (памятниках истории и культуры) народов Российской Федерации» в отношении произведений</w:t>
      </w:r>
      <w:r w:rsidRPr="00891547">
        <w:t xml:space="preserve"> </w:t>
      </w:r>
      <w:r>
        <w:t>монументального искусства защитные зоны не устанавливаются.</w:t>
      </w:r>
    </w:p>
    <w:p w:rsidR="00FA1F4E" w:rsidRDefault="003B2CFF">
      <w:pPr>
        <w:pStyle w:val="afff3"/>
        <w:spacing w:before="0" w:after="0"/>
        <w:ind w:firstLine="709"/>
      </w:pPr>
      <w:r>
        <w:t>Границы защитной зоны объекта культурного наследия устанавливаются:</w:t>
      </w:r>
    </w:p>
    <w:p w:rsidR="00FA1F4E" w:rsidRDefault="003B2CFF">
      <w:pPr>
        <w:numPr>
          <w:ilvl w:val="0"/>
          <w:numId w:val="8"/>
        </w:numPr>
      </w:pPr>
      <w: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A1F4E" w:rsidRDefault="003B2CFF">
      <w:pPr>
        <w:numPr>
          <w:ilvl w:val="0"/>
          <w:numId w:val="8"/>
        </w:numPr>
      </w:pPr>
      <w: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A1F4E" w:rsidRDefault="003B2CFF">
      <w: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A1F4E" w:rsidRDefault="003B2CFF">
      <w:pPr>
        <w:pStyle w:val="afff3"/>
        <w:spacing w:before="0" w:after="0"/>
        <w:ind w:firstLine="709"/>
      </w:pPr>
      <w: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FA1F4E" w:rsidRDefault="003B2CFF">
      <w:pPr>
        <w:pStyle w:val="afff3"/>
        <w:spacing w:before="0" w:after="0"/>
        <w:ind w:firstLine="709"/>
      </w:pPr>
      <w:r>
        <w:t>Сведения о размерах защитных зон объектов культурного наследия, расположенных в границах г. Лодейгое Поле, представлены в приложении 1.</w:t>
      </w:r>
    </w:p>
    <w:p w:rsidR="00FA1F4E" w:rsidRDefault="003B2CFF">
      <w:r>
        <w:lastRenderedPageBreak/>
        <w:t xml:space="preserve">В соответствии с Федеральным законом Российской Федерации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могут быть установлены </w:t>
      </w:r>
      <w:r>
        <w:rPr>
          <w:b/>
        </w:rPr>
        <w:t>зоны охраны объектов культурного наследия</w:t>
      </w:r>
      <w:r>
        <w:t xml:space="preserve"> (памятников истории и культуры) народов Российской Федерации, включающие охранные зоны, зоны регулирования застройки и хозяйственной деятельности, зоны охраняемого природного ландшафта.</w:t>
      </w:r>
    </w:p>
    <w:p w:rsidR="00FA1F4E" w:rsidRDefault="003B2CFF">
      <w:r>
        <w:t>Зоны охраны объектов культурного наследия в границах города Лодейное Поле не установлены.</w:t>
      </w:r>
    </w:p>
    <w:p w:rsidR="00FA1F4E" w:rsidRDefault="00FA1F4E"/>
    <w:p w:rsidR="00FA1F4E" w:rsidRDefault="003B2CFF">
      <w:pPr>
        <w:pStyle w:val="20"/>
      </w:pPr>
      <w:bookmarkStart w:id="12" w:name="_Toc530829513"/>
      <w:bookmarkStart w:id="13" w:name="_Toc535180830"/>
      <w:bookmarkStart w:id="14" w:name="_Toc478486447"/>
      <w:bookmarkStart w:id="15" w:name="_Toc74682215"/>
      <w:bookmarkStart w:id="16" w:name="_Toc106831751"/>
      <w:r>
        <w:t>3.7. Планировочные ограничения</w:t>
      </w:r>
      <w:bookmarkEnd w:id="12"/>
      <w:bookmarkEnd w:id="13"/>
      <w:bookmarkEnd w:id="14"/>
      <w:bookmarkEnd w:id="15"/>
      <w:bookmarkEnd w:id="16"/>
    </w:p>
    <w:p w:rsidR="00FA1F4E" w:rsidRDefault="00FA1F4E"/>
    <w:p w:rsidR="00FA1F4E" w:rsidRDefault="003B2CFF">
      <w:r>
        <w:t>К планировочным ограничениям отнесены территории, на которых в соответствии с действующим законодательством установлены особые требования для градостроительной и хозяйственной деятельности, но не включенные в общий перечень видов зон с особыми условиями использования территорий, установленных статьей 105 Земельного кодекса Российской Федерации.</w:t>
      </w:r>
    </w:p>
    <w:p w:rsidR="00FA1F4E" w:rsidRDefault="00FA1F4E"/>
    <w:p w:rsidR="00FA1F4E" w:rsidRDefault="003B2CFF">
      <w:pPr>
        <w:rPr>
          <w:b/>
        </w:rPr>
      </w:pPr>
      <w:r>
        <w:rPr>
          <w:b/>
        </w:rPr>
        <w:t>Нормативные (ориентировочные) санитарно-защитные зоны</w:t>
      </w:r>
    </w:p>
    <w:p w:rsidR="00FA1F4E" w:rsidRDefault="003B2CFF">
      <w:r>
        <w:t>До установления санитарно-защитных зон и внесения сведений о них в ЕГРН в установленном порядке в соответствии с постановлением Правительства Российской Федерации от 3 марта 2018 года № 222 на карте «Карта современного использования территории. Карта зон с особыми условиями использования территорий. Карта объектов культурного наследия» показаны нормативные (ориентировочные) санитарно-защитные зоны от объектов капитального строительства, являющихся источниками химического, физического, биологического воздействия на среду обитания человека в соответствии с СанПиН 2.2.1/2.1.1.1200-03 в качестве планировочных ограничений с учетом сведений действующего генерального плана. Сведения о нормативных санитарно-защитных зонах предприятий, расположенных в г. Лодейное Поле, представлены в приложении 3.</w:t>
      </w:r>
    </w:p>
    <w:p w:rsidR="00FA1F4E" w:rsidRDefault="003B2CFF">
      <w: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электромагнитых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 Размеры санитарно-защитных зон определяются в соответствии с действующими санитарно-эпидемиологическими нормами допустимых уровней шума, электромагнитных излучений, инфразвука, рассеянного лазерного излучения и других физических факторов на внешней границе санитарно-защитной зоны.</w:t>
      </w:r>
    </w:p>
    <w:p w:rsidR="00FA1F4E" w:rsidRDefault="003B2CFF">
      <w:r>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3 марта 2018 года № 222.</w:t>
      </w:r>
    </w:p>
    <w:p w:rsidR="00FA1F4E" w:rsidRDefault="003B2CFF">
      <w:r>
        <w:lastRenderedPageBreak/>
        <w:t xml:space="preserve">В соответствии с пунктом 52 СанПиН 2.1.3684-21 кладбище размещают на расстоянии от жилых, общественных зданий, спортивно-оздоровительных и санаторно-курортных зон в соответствии с требованиями к санитарно-защитным зонам: </w:t>
      </w:r>
    </w:p>
    <w:p w:rsidR="00FA1F4E" w:rsidRDefault="003B2CFF">
      <w:pPr>
        <w:pStyle w:val="afff"/>
        <w:numPr>
          <w:ilvl w:val="0"/>
          <w:numId w:val="32"/>
        </w:numPr>
      </w:pPr>
      <w:r>
        <w:t>от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 должны составлять не менее 50 метров;</w:t>
      </w:r>
    </w:p>
    <w:p w:rsidR="00FA1F4E" w:rsidRDefault="003B2CFF">
      <w:pPr>
        <w:pStyle w:val="afff"/>
        <w:numPr>
          <w:ilvl w:val="0"/>
          <w:numId w:val="32"/>
        </w:numPr>
      </w:pPr>
      <w:r>
        <w:t>от водозаборных сооружений на водных объектах, используемых в целях питьевого и хозяйственно-бытового водоснабжения населения, в соответствии с требованиями к зонам санитарной охраны водных объектов.</w:t>
      </w:r>
    </w:p>
    <w:p w:rsidR="00FA1F4E" w:rsidRDefault="00FA1F4E"/>
    <w:p w:rsidR="00FA1F4E" w:rsidRDefault="003B2CFF">
      <w:pPr>
        <w:rPr>
          <w:b/>
        </w:rPr>
      </w:pPr>
      <w:r>
        <w:rPr>
          <w:b/>
        </w:rPr>
        <w:t>Охранные зоны стационарных пунктов наблюдений за состоянием окружающей природной среды, ее загрязнением</w:t>
      </w:r>
    </w:p>
    <w:p w:rsidR="00FA1F4E" w:rsidRDefault="003B2CFF">
      <w:r>
        <w:t>В настоящее время сведения об охранных зонах стационарных пунктов наблюдений за состоянием окружающей природной среды, ее загрязнением на территории города Лодейное Поле не внесены в ЕГРН. До установления данных зон в установленном порядке при подготовке изменений в генеральный план требования по их установлению учтены как планировочные ограничения.</w:t>
      </w:r>
    </w:p>
    <w:p w:rsidR="00FA1F4E" w:rsidRDefault="003B2CFF">
      <w:r>
        <w:t>Порядок установления, изменения и прекращения существования охранной зоны стационарных пунктов наблюдений за состоянием окружающей среды, ее загрязнением, входящих в государственную наблюдательную сеть и находящихся в федеральной собственности, определен Положением об охранной зоне стационарных пунктов наблюдений за состоянием окружающей среды, ее загрязнением, утвержденным постановлением Правительства Российской Федерации от 17 марта 2021 года № 392.</w:t>
      </w:r>
    </w:p>
    <w:p w:rsidR="00FA1F4E" w:rsidRDefault="003B2CFF">
      <w:r>
        <w:t>Предельные размеры охранной зоны составляют:</w:t>
      </w:r>
    </w:p>
    <w:p w:rsidR="00FA1F4E" w:rsidRDefault="003B2CFF">
      <w:pPr>
        <w:pStyle w:val="afff"/>
        <w:numPr>
          <w:ilvl w:val="0"/>
          <w:numId w:val="33"/>
        </w:numPr>
      </w:pPr>
      <w:r>
        <w:t>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FA1F4E" w:rsidRDefault="003B2CFF">
      <w:pPr>
        <w:pStyle w:val="afff"/>
        <w:numPr>
          <w:ilvl w:val="0"/>
          <w:numId w:val="33"/>
        </w:numPr>
      </w:pPr>
      <w:r>
        <w:t>200 метров - для стационарных пунктов наблюдений в случаях, не указанных в первом подпункте.</w:t>
      </w:r>
    </w:p>
    <w:p w:rsidR="00FA1F4E" w:rsidRDefault="003B2CFF">
      <w: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FA1F4E" w:rsidRDefault="003B2CFF">
      <w: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В границах охранной зоны запрещается:</w:t>
      </w:r>
    </w:p>
    <w:p w:rsidR="00FA1F4E" w:rsidRDefault="003B2CFF">
      <w:pPr>
        <w:pStyle w:val="afff"/>
        <w:numPr>
          <w:ilvl w:val="0"/>
          <w:numId w:val="34"/>
        </w:numPr>
      </w:pPr>
      <w: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FA1F4E" w:rsidRDefault="003B2CFF">
      <w:pPr>
        <w:pStyle w:val="afff"/>
        <w:numPr>
          <w:ilvl w:val="0"/>
          <w:numId w:val="34"/>
        </w:numPr>
      </w:pPr>
      <w:r>
        <w:t xml:space="preserve">размещение источников искажения температурно-влажностного режима атмосферного воздуха (теплотрассы, котельные, трубопроводы, бетонные, </w:t>
      </w:r>
      <w:r>
        <w:lastRenderedPageBreak/>
        <w:t>асфальтовые и иные искусственные площадки, искусственные водные объекты, оросительные и осушительные системы, открытые источники огня, дыма);</w:t>
      </w:r>
    </w:p>
    <w:p w:rsidR="00FA1F4E" w:rsidRDefault="003B2CFF">
      <w:pPr>
        <w:pStyle w:val="afff"/>
        <w:numPr>
          <w:ilvl w:val="0"/>
          <w:numId w:val="34"/>
        </w:numPr>
      </w:pPr>
      <w:r>
        <w:t>проведение горных, геолого-разведочных и взрывных работ, а также земляных работ;</w:t>
      </w:r>
    </w:p>
    <w:p w:rsidR="00FA1F4E" w:rsidRDefault="003B2CFF">
      <w:pPr>
        <w:pStyle w:val="afff"/>
        <w:numPr>
          <w:ilvl w:val="0"/>
          <w:numId w:val="34"/>
        </w:numPr>
      </w:pPr>
      <w:r>
        <w:t>организация стоянки автомобильного и (или) водного транспорта, других механизмов, сооружение причалов и пристаней;</w:t>
      </w:r>
    </w:p>
    <w:p w:rsidR="00FA1F4E" w:rsidRDefault="003B2CFF">
      <w:pPr>
        <w:pStyle w:val="afff"/>
        <w:numPr>
          <w:ilvl w:val="0"/>
          <w:numId w:val="34"/>
        </w:numPr>
      </w:pPr>
      <w: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FA1F4E" w:rsidRDefault="003B2CFF">
      <w:pPr>
        <w:pStyle w:val="afff"/>
        <w:numPr>
          <w:ilvl w:val="0"/>
          <w:numId w:val="34"/>
        </w:numPr>
      </w:pPr>
      <w:r>
        <w:t>складирование удобрений, отходов производства и потребления.</w:t>
      </w:r>
    </w:p>
    <w:p w:rsidR="00FA1F4E" w:rsidRDefault="003B2CFF">
      <w:r>
        <w:t xml:space="preserve">В городе Лодейное Поле расположена метеорологическая станция 2-го разряда (земельный участок с кадастровым номером 47:06:0407001:11), которая входит в структуру Федерального государственного бюджетного учреждения «Северо-Западное управление по гидрометеорологии и мониторингу окружающей среды» (ФГБУ «Северо-Западное УГМС»). </w:t>
      </w:r>
    </w:p>
    <w:p w:rsidR="00FA1F4E" w:rsidRDefault="003B2CFF">
      <w:r>
        <w:t>Согласно статье 13 Федерального закона от 19 июля 1998 года № 113-ФЗ «О гидрометеорологической службе»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Организация деятельности стационарных и подвижных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 прекращение деятельности указанных пунктов наблюдений осуществляется исключительно в соответствии с решением федерального органа исполнительной власти в области гидрометеорологии и смежных с ней областях.</w:t>
      </w:r>
    </w:p>
    <w:p w:rsidR="00FA1F4E" w:rsidRDefault="00FA1F4E">
      <w:pPr>
        <w:pStyle w:val="afff3"/>
        <w:spacing w:before="0" w:after="0"/>
        <w:ind w:firstLine="709"/>
      </w:pPr>
    </w:p>
    <w:p w:rsidR="00FA1F4E" w:rsidRDefault="003B2CFF">
      <w:pPr>
        <w:pStyle w:val="afff3"/>
        <w:spacing w:before="0" w:after="0"/>
        <w:ind w:firstLine="709"/>
        <w:rPr>
          <w:b/>
        </w:rPr>
      </w:pPr>
      <w:r>
        <w:rPr>
          <w:b/>
        </w:rPr>
        <w:t>Санитарные разрывы от объектов транспортной и инженерной инфраструктуры</w:t>
      </w:r>
    </w:p>
    <w:p w:rsidR="00FA1F4E" w:rsidRDefault="003B2CFF">
      <w:pPr>
        <w:pStyle w:val="afff3"/>
        <w:suppressAutoHyphens/>
        <w:spacing w:before="0" w:after="0"/>
        <w:ind w:firstLine="709"/>
      </w:pPr>
      <w:r>
        <w:t>С целью уменьшения химического биологического и (или) физического воздействия до значений гигиенических нормативов от источника вредного воздействия до границы жилой застройки, ландшафтно-рекреационной зоны, зоны отдыха с учетом Федерального закона от 30 марта 1999 года № 52-ФЗ «О санитарно-эпидемиологическом благополучии населения» и санитарно-эпидемиологических норм и правил действующими нормативами градостроительного проектирования устанавливаются требования к учету санитарных разрывов.</w:t>
      </w:r>
    </w:p>
    <w:p w:rsidR="00FA1F4E" w:rsidRDefault="003B2CFF">
      <w:pPr>
        <w:pStyle w:val="afff3"/>
        <w:suppressAutoHyphens/>
        <w:spacing w:before="0" w:after="0"/>
        <w:ind w:firstLine="709"/>
      </w:pPr>
      <w:r>
        <w:t>Требования к санитарным разрывам от объектов автомобильного и железнодорожного транспорта установлены СП 42.13330.2016 «Градостроительство. Планировка и застройка городских и сельских поселений», местными нормативами градостроительного проектирования, СанПиН 2.2.1/2.1.1.1200-03 «Санитарно-защитные зоны и санитарная классификация предприятий, сооружений и иных объектов»</w:t>
      </w:r>
      <w:r>
        <w:rPr>
          <w:rStyle w:val="af8"/>
        </w:rPr>
        <w:footnoteReference w:id="6"/>
      </w:r>
      <w:r>
        <w:t>, в том числе установлены следующие требования по соблюдению разрывов до объектов застройки:</w:t>
      </w:r>
    </w:p>
    <w:p w:rsidR="00FA1F4E" w:rsidRDefault="003B2CFF">
      <w:pPr>
        <w:pStyle w:val="afff3"/>
        <w:numPr>
          <w:ilvl w:val="0"/>
          <w:numId w:val="35"/>
        </w:numPr>
        <w:suppressAutoHyphens/>
        <w:spacing w:before="0" w:after="0"/>
      </w:pPr>
      <w:r>
        <w:t>в зависимости от количества машино-мест разрывы от сооружений для хранения легкового автотранспорта до жилых и общественных зданий, открытых спортивных сооружений общего пользования, мест отдыха населения (сады, скверы, парки) могут составлять от 10 до 50 метров (в соответствии с пунктом 2.3.30 местных нормативов градостроительного проектирования);</w:t>
      </w:r>
    </w:p>
    <w:p w:rsidR="00FA1F4E" w:rsidRDefault="003B2CFF">
      <w:pPr>
        <w:pStyle w:val="afff3"/>
        <w:numPr>
          <w:ilvl w:val="0"/>
          <w:numId w:val="35"/>
        </w:numPr>
        <w:suppressAutoHyphens/>
        <w:spacing w:before="0" w:after="0"/>
      </w:pPr>
      <w:r>
        <w:t>в соответствии с пунктом 8.20 СП 42.13330.2016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rsidR="00FA1F4E" w:rsidRDefault="003B2CFF">
      <w:pPr>
        <w:pStyle w:val="afff3"/>
        <w:numPr>
          <w:ilvl w:val="0"/>
          <w:numId w:val="35"/>
        </w:numPr>
        <w:suppressAutoHyphens/>
        <w:spacing w:before="0" w:after="0"/>
      </w:pPr>
      <w:r>
        <w:t xml:space="preserve">для автомагистралей устанавливается расстояние от источника химического, биологического и/или физического воздействия, уменьшающее эти воздействия до </w:t>
      </w:r>
      <w:r>
        <w:lastRenderedPageBreak/>
        <w:t>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факторов) с последующим проведением натурных исследований и измерений.</w:t>
      </w:r>
    </w:p>
    <w:p w:rsidR="00FA1F4E" w:rsidRDefault="003B2CFF">
      <w:pPr>
        <w:pStyle w:val="afff3"/>
        <w:suppressAutoHyphens/>
        <w:spacing w:before="0" w:after="0"/>
        <w:ind w:firstLine="709"/>
      </w:pPr>
      <w:r>
        <w:t>В соответствии с требованиями пункта 4.10.4.5 постановления Госстроя России от 27 сентября 2003 года № 170 «Об утверждении Правил и норм технической эксплуатации жилищного фонда» жилая застройка должна быть отделена от железнодорожной линии и станции защитной зоной шириной не менее 200 метров, для железнодорожных линий I и II категорий не менее 150 метров, для железнодорожных линий III и IV категорий не менее 100 метров от станционных путей, считая от оси крайнего железнодорожного пути. При условии устройства вдоль линии шумозащитных экранов минимальные значения ширины защитной зоны могут быть уменьшены на основании акустического расчета, но не более чем 50 метров. При расположении жилых зданий вдоль железнодорожной магистрали следует устраивать шумозащитные экраны, насыпи, выямки, валы, стенки-барьеры или здания – экраны различного функционального назначения, размещаемые на прилегающей территории (гаражи, здания нежилого назначения) в сочетании с зелеными насаждениями.</w:t>
      </w:r>
    </w:p>
    <w:p w:rsidR="00FA1F4E" w:rsidRDefault="003B2CFF">
      <w:pPr>
        <w:pStyle w:val="afff3"/>
        <w:suppressAutoHyphens/>
        <w:spacing w:before="0" w:after="0"/>
        <w:ind w:firstLine="709"/>
      </w:pPr>
      <w:r>
        <w:t>В соответствии с пунктом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метров, считая от красной линии до оси крайнего пути. При осуществлении специальных шумозащитных мероприятий ширина санитарно-защитной зоны может быть уменьшена, но не более чем на 50 метров. Ширину санитарно-защитной зоны до границ садовых участков можно принимать равной 50 метров.</w:t>
      </w:r>
    </w:p>
    <w:p w:rsidR="00FA1F4E" w:rsidRDefault="003B2CFF">
      <w:pPr>
        <w:pStyle w:val="afff3"/>
        <w:suppressAutoHyphens/>
        <w:spacing w:before="0" w:after="0"/>
        <w:ind w:firstLine="709"/>
      </w:pPr>
      <w: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 ширины санитарно-защитной зоны должно иметь зеленые насаждения.</w:t>
      </w:r>
    </w:p>
    <w:p w:rsidR="00FA1F4E" w:rsidRDefault="003B2CFF">
      <w:pPr>
        <w:pStyle w:val="afff3"/>
        <w:suppressAutoHyphens/>
        <w:spacing w:before="0" w:after="0"/>
        <w:ind w:firstLine="709"/>
      </w:pPr>
      <w:r>
        <w:t>При расположении железнодорожных путей на насыпи, высотой более 2 метров, расстояние от оси пути до сооружений, не связанных с эксплуатацией, по условиям безопасности в случае аварии должно быть не менее 50 метров.</w:t>
      </w:r>
    </w:p>
    <w:p w:rsidR="00FA1F4E" w:rsidRDefault="003B2CFF">
      <w:pPr>
        <w:pStyle w:val="afff3"/>
        <w:spacing w:before="0" w:after="0"/>
        <w:ind w:firstLine="709"/>
      </w:pPr>
      <w:r>
        <w:t xml:space="preserve">В настоящее время санитарно-защитные зоны от объектов железнодорожного транспорта не установлены. Данные требования с учетом СП 42.13330.2016 и СанПиН 2.2.1/2.1.1.1200-03 отражены на карте «Карта современного использования территории. Карта зон с особыми условиями использования территорий. Карта объектов культурного наследия» как санитарные разрывы с целью учета при установлении (уточнении) функциональных зон. </w:t>
      </w:r>
    </w:p>
    <w:p w:rsidR="00FA1F4E" w:rsidRDefault="003B2CFF">
      <w:pPr>
        <w:pStyle w:val="afff3"/>
        <w:spacing w:before="0" w:after="0"/>
        <w:ind w:firstLine="709"/>
      </w:pPr>
      <w:r>
        <w:t>В соответствии с пунктом 6.3 СанПиН 2.2.1/2.1.1.1200-03 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FA1F4E" w:rsidRDefault="003B2CFF">
      <w:pPr>
        <w:pStyle w:val="afff3"/>
        <w:spacing w:before="0" w:after="0"/>
        <w:ind w:firstLine="709"/>
      </w:pPr>
      <w:r>
        <w:t>Для вновь проектируемых высоковольтных линий электропередачи до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A1F4E" w:rsidRDefault="003B2CFF">
      <w:pPr>
        <w:numPr>
          <w:ilvl w:val="0"/>
          <w:numId w:val="8"/>
        </w:numPr>
      </w:pPr>
      <w:r>
        <w:t>20 м – для ВЛ напряжением 330 кВ.</w:t>
      </w:r>
    </w:p>
    <w:p w:rsidR="00FA1F4E" w:rsidRDefault="00FA1F4E">
      <w:pPr>
        <w:pStyle w:val="afff3"/>
        <w:suppressAutoHyphens/>
        <w:spacing w:before="0" w:after="0"/>
        <w:ind w:firstLine="709"/>
        <w:rPr>
          <w:b/>
        </w:rPr>
      </w:pPr>
    </w:p>
    <w:p w:rsidR="00FA1F4E" w:rsidRDefault="003B2CFF">
      <w:pPr>
        <w:pStyle w:val="afff3"/>
        <w:suppressAutoHyphens/>
        <w:spacing w:before="0" w:after="0"/>
        <w:ind w:firstLine="709"/>
        <w:rPr>
          <w:b/>
        </w:rPr>
      </w:pPr>
      <w:r>
        <w:rPr>
          <w:b/>
        </w:rPr>
        <w:t>Осуществление землепользования и застройки (реконструкции) на территориях, прилегающих к территориям объектов, включенных в единый государственный реестр объектов культурного наследия, выявленных объектов культурного наследия</w:t>
      </w:r>
    </w:p>
    <w:p w:rsidR="00FA1F4E" w:rsidRDefault="003B2CFF">
      <w:r>
        <w:t xml:space="preserve">Согласно статье 28 Федерального закона от 25 июня 2002 года № 73-ФЗ «Об объектах культурного наследия (памятниках истории и культуры) народов Российской Федерации», в целях определения наличия или отсутствия объектов археологического наследия либо объектов, </w:t>
      </w:r>
      <w:r>
        <w:lastRenderedPageBreak/>
        <w:t>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 от 25 июня 2002 года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части 1 статьи 9 Федерального закона от 25 июня 2002 года № 73-ФЗ проводится государственная историко-культурная экспертиза.</w:t>
      </w:r>
    </w:p>
    <w:p w:rsidR="00FA1F4E" w:rsidRDefault="003B2CFF">
      <w:r>
        <w:t>В соответствии с частью 56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до утверждения в соответствии с пунктом 34.2 части 1 статьи 9 Федерального закона от 25 июня 2002 года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статьи 28, абзацем третьим статьи 30, частью 3 статьи 31 Федерального закона от 25 июня 2002 года № 73-ФЗ (в редакции, действовавшей до дня официального опубликования Федерального закона № 342-ФЗ).</w:t>
      </w:r>
    </w:p>
    <w:p w:rsidR="00FA1F4E" w:rsidRDefault="003B2CFF">
      <w:r>
        <w:t>В соответствии со статьей 36 Федерального закона от 25 июня 2002 года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(в том числе археологического)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частями 2, 3 статьи 36 Федерального закона от 25 июня 2002 года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FA1F4E" w:rsidRDefault="003B2CFF">
      <w:r>
        <w:t>Согласно части 2 статьи 36 Федерального закона от 25 июня 2002 года № 73-ФЗ изыскательские, проектные, земляные, строительные, мелиоративные, хозяйственные работы, указанные в статье 30 Федерального закона от 25 июня 2002 года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 июня 2002 года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 июня 2002 года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FA1F4E" w:rsidRDefault="003B2CFF">
      <w:pPr>
        <w:pStyle w:val="afff3"/>
        <w:suppressAutoHyphens/>
        <w:spacing w:before="0" w:after="0"/>
        <w:ind w:firstLine="709"/>
      </w:pPr>
      <w:r>
        <w:t xml:space="preserve">Согласно части 4 статьи 36 Федерального закона от 25 июня 2002 года № 73-ФЗ в случае обнаружения в ходе проведения изыскательских, проектных, земляных, строительных, </w:t>
      </w:r>
      <w:r>
        <w:lastRenderedPageBreak/>
        <w:t>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FA1F4E" w:rsidRDefault="003B2CFF">
      <w:pPr>
        <w:pStyle w:val="afff3"/>
        <w:suppressAutoHyphens/>
        <w:spacing w:before="0" w:after="0"/>
        <w:ind w:firstLine="709"/>
      </w:pPr>
      <w:r>
        <w:t>Кроме того, при осуществлении землепользования и застройки (реконструкции) на территориях, прилегающих к территориям объектов, включенных в единый государственный реестр объектов культурного наследия, выявленных объектов культурного наследия, необходимо учитывать следующие требования:</w:t>
      </w:r>
    </w:p>
    <w:p w:rsidR="00FA1F4E" w:rsidRDefault="003B2CFF">
      <w:pPr>
        <w:pStyle w:val="afff3"/>
        <w:numPr>
          <w:ilvl w:val="0"/>
          <w:numId w:val="36"/>
        </w:numPr>
        <w:suppressAutoHyphens/>
        <w:spacing w:before="0" w:after="0"/>
      </w:pPr>
      <w:r>
        <w:t>распространение наружной рекламы на объектах культурного наследия, их территориях осуществляется в соответствии со статьей 35.1 Федерального закона от 25 июня 2002 года № 73-ФЗ;</w:t>
      </w:r>
    </w:p>
    <w:p w:rsidR="00FA1F4E" w:rsidRDefault="003B2CFF">
      <w:pPr>
        <w:pStyle w:val="afff3"/>
        <w:numPr>
          <w:ilvl w:val="0"/>
          <w:numId w:val="36"/>
        </w:numPr>
        <w:suppressAutoHyphens/>
        <w:spacing w:before="0" w:after="0"/>
      </w:pPr>
      <w:r>
        <w:t xml:space="preserve">в соответствии со статьей 38 Федерального закона от 25 июня 2002 года № 73-ФЗ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w:t>
      </w:r>
    </w:p>
    <w:p w:rsidR="00FA1F4E" w:rsidRDefault="003B2CFF">
      <w:pPr>
        <w:pStyle w:val="afff3"/>
        <w:numPr>
          <w:ilvl w:val="0"/>
          <w:numId w:val="36"/>
        </w:numPr>
        <w:suppressAutoHyphens/>
        <w:spacing w:before="0" w:after="0"/>
      </w:pPr>
      <w:r>
        <w:t>проведение работ по сохранению объекта культурного наследия, включенного в реестр, выявленного объекта культурного наследия, осуществляется в соответствии со статьей 45 Федерального закона от 25 июня 2002 года № 73-ФЗ;</w:t>
      </w:r>
    </w:p>
    <w:p w:rsidR="00FA1F4E" w:rsidRDefault="003B2CFF">
      <w:pPr>
        <w:pStyle w:val="afff3"/>
        <w:numPr>
          <w:ilvl w:val="0"/>
          <w:numId w:val="36"/>
        </w:numPr>
        <w:suppressAutoHyphens/>
        <w:spacing w:before="0" w:after="0"/>
      </w:pPr>
      <w:r>
        <w:t>в соответствии со статьей 99 Земельного кодекса Российской Федерации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 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FA1F4E" w:rsidRDefault="00FA1F4E">
      <w:pPr>
        <w:pStyle w:val="afff3"/>
        <w:suppressAutoHyphens/>
        <w:spacing w:before="0" w:after="0"/>
        <w:ind w:firstLine="709"/>
        <w:rPr>
          <w:bCs/>
        </w:rPr>
      </w:pPr>
    </w:p>
    <w:p w:rsidR="00FA1F4E" w:rsidRDefault="003B2CFF">
      <w:pPr>
        <w:pStyle w:val="1"/>
      </w:pPr>
      <w:bookmarkStart w:id="17" w:name="_Toc106831752"/>
      <w:r>
        <w:lastRenderedPageBreak/>
        <w:t>4. Сведения об обращениях заинтересованных лиц</w:t>
      </w:r>
      <w:bookmarkEnd w:id="17"/>
    </w:p>
    <w:p w:rsidR="00FA1F4E" w:rsidRDefault="00FA1F4E"/>
    <w:p w:rsidR="00FA1F4E" w:rsidRDefault="003B2CFF">
      <w:pPr>
        <w:rPr>
          <w:szCs w:val="28"/>
        </w:rPr>
      </w:pPr>
      <w:r>
        <w:t xml:space="preserve">С учетом части 6 </w:t>
      </w:r>
      <w:r>
        <w:rPr>
          <w:szCs w:val="28"/>
        </w:rPr>
        <w:t>статьи 9, части 3 статьи 24 Градостроительного кодекса Российской Федерации подготовка проекта генерального плана осуществляется с учетом предложений заинтересованных лиц.</w:t>
      </w:r>
    </w:p>
    <w:p w:rsidR="00FA1F4E" w:rsidRDefault="003B2CFF">
      <w:pPr>
        <w:rPr>
          <w:szCs w:val="28"/>
        </w:rPr>
      </w:pPr>
      <w:r>
        <w:rPr>
          <w:szCs w:val="28"/>
        </w:rPr>
        <w:t xml:space="preserve">При подготовке изменений </w:t>
      </w:r>
      <w:r>
        <w:t xml:space="preserve">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w:t>
      </w:r>
      <w:r>
        <w:rPr>
          <w:szCs w:val="28"/>
        </w:rPr>
        <w:t xml:space="preserve">предложения заинтересованных лиц не поступали. </w:t>
      </w:r>
    </w:p>
    <w:p w:rsidR="00FA1F4E" w:rsidRDefault="003B2CFF">
      <w:pPr>
        <w:rPr>
          <w:szCs w:val="28"/>
        </w:rPr>
      </w:pPr>
      <w:r>
        <w:rPr>
          <w:szCs w:val="28"/>
        </w:rPr>
        <w:t>В рамках проведения общественных обсуждений по проекту внесения изменений в генеральный план Лодейнопольского городского поселения Лодейнопольского муниципального района Ленинградской области поступили 4 обращения заинтересованных лиц по предмету генерального плана в части уточнения (изменения) функциональных зон, которые учетны на основании сведений о земельных участках, внесенных в ЕГРН и сложившегося использования территорий:</w:t>
      </w:r>
    </w:p>
    <w:p w:rsidR="00FA1F4E" w:rsidRDefault="003B2CFF">
      <w:pPr>
        <w:pStyle w:val="afff3"/>
        <w:numPr>
          <w:ilvl w:val="0"/>
          <w:numId w:val="36"/>
        </w:numPr>
        <w:suppressAutoHyphens/>
        <w:spacing w:before="0" w:after="0"/>
        <w:rPr>
          <w:lang w:eastAsia="en-US"/>
        </w:rPr>
      </w:pPr>
      <w:r>
        <w:rPr>
          <w:lang w:eastAsia="en-US"/>
        </w:rPr>
        <w:t>изменить функциональную зону П1 (производственная зона) в районе земельных участков с кадастровыми номерами 47:06:0103004:283 и 47:06:0103004:314 (схема прилагается) на Ж2 (зона застройки малоэтажными жилыми домами (до 4 этажей, включая мансардный)), на котором по факту расположен многоквартирный жилой дом (предложение отдела по управлению муниципальным имуществом администрации Лодейнопольского муниципального района);</w:t>
      </w:r>
    </w:p>
    <w:p w:rsidR="00FA1F4E" w:rsidRDefault="003B2CFF">
      <w:pPr>
        <w:pStyle w:val="afff3"/>
        <w:numPr>
          <w:ilvl w:val="0"/>
          <w:numId w:val="36"/>
        </w:numPr>
        <w:suppressAutoHyphens/>
        <w:spacing w:before="0" w:after="0"/>
        <w:rPr>
          <w:lang w:eastAsia="en-US"/>
        </w:rPr>
      </w:pPr>
      <w:r>
        <w:rPr>
          <w:lang w:eastAsia="en-US"/>
        </w:rPr>
        <w:t>изменить функциональную зону для земельного участка с кадастровым номером 47:06:0102004:130 с Ж.1 (зона застройки индивидуальными жилыми домами) на О (общественно-деловая зона) (предложение физического лица);</w:t>
      </w:r>
    </w:p>
    <w:p w:rsidR="00FA1F4E" w:rsidRDefault="003B2CFF">
      <w:pPr>
        <w:pStyle w:val="afff3"/>
        <w:numPr>
          <w:ilvl w:val="0"/>
          <w:numId w:val="36"/>
        </w:numPr>
        <w:suppressAutoHyphens/>
        <w:spacing w:before="0" w:after="0"/>
        <w:rPr>
          <w:lang w:eastAsia="en-US"/>
        </w:rPr>
      </w:pPr>
      <w:r>
        <w:rPr>
          <w:lang w:eastAsia="en-US"/>
        </w:rPr>
        <w:t>изменить функциональную зону Сп3 (зона озелененных территорий специального назначения) в районе земельных участков с кадастровыми номерами 47:06:0101001:87 и 47:06:0101001:57 (схема прилагается) на функциональную зону П1 (производственная зона) (предложение ООО «БалтИнвестСтрой);</w:t>
      </w:r>
    </w:p>
    <w:p w:rsidR="00FA1F4E" w:rsidRDefault="003B2CFF">
      <w:pPr>
        <w:pStyle w:val="afff3"/>
        <w:numPr>
          <w:ilvl w:val="0"/>
          <w:numId w:val="36"/>
        </w:numPr>
        <w:suppressAutoHyphens/>
        <w:spacing w:before="0" w:after="0"/>
        <w:rPr>
          <w:lang w:eastAsia="en-US"/>
        </w:rPr>
      </w:pPr>
      <w:r>
        <w:rPr>
          <w:lang w:eastAsia="en-US"/>
        </w:rPr>
        <w:t>изменить функциональную зону Сп3 (зона озелененных территорий специального назначения) в районе земельных участков с кадастровыми номерами 47:06:0101002:1194 и 47:06:0101002:24 (схема прилагается) на Ж1 (зона застройки индивидуальными жилыми домами) (предложение физического лица).</w:t>
      </w:r>
    </w:p>
    <w:p w:rsidR="00FA1F4E" w:rsidRDefault="00FF355F">
      <w:pPr>
        <w:rPr>
          <w:szCs w:val="28"/>
        </w:rPr>
      </w:pPr>
      <w:r w:rsidRPr="00FF355F">
        <w:rPr>
          <w:szCs w:val="28"/>
        </w:rPr>
        <w:t>Поступившие предложения заинтересованных лиц по уточнению границ функциональных зон в целях обеспечения учета интересов граждан и их объединений могут быть учтены в полном объёме, их учет не окажет негативного воздействия на окружающую среду, не затрагивает территории в границах существующих и планируемых особо охраняемых природных территорий, не нарушает режим зон с особыми условиями использования территорий, а также не затрагивает территории, планируемые для размещения объектов федерального значения, объектов регионального значения, объектов местного значения.</w:t>
      </w:r>
    </w:p>
    <w:p w:rsidR="00FA1F4E" w:rsidRDefault="003B2CFF">
      <w:pPr>
        <w:pStyle w:val="1"/>
      </w:pPr>
      <w:bookmarkStart w:id="18" w:name="_Toc106831753"/>
      <w:r>
        <w:lastRenderedPageBreak/>
        <w:t>5. Уточнение параметров и границ функциональных зон</w:t>
      </w:r>
      <w:bookmarkEnd w:id="18"/>
    </w:p>
    <w:p w:rsidR="00FA1F4E" w:rsidRDefault="00FA1F4E"/>
    <w:p w:rsidR="00FA1F4E" w:rsidRDefault="003B2CFF">
      <w:r>
        <w:rPr>
          <w:szCs w:val="24"/>
        </w:rPr>
        <w:t xml:space="preserve">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внесены уточнения в параметры функциональных зон с учетом </w:t>
      </w:r>
      <w:r>
        <w:t xml:space="preserve">правил землепользования и застройки, а также уточнения в границы </w:t>
      </w:r>
      <w:r>
        <w:rPr>
          <w:szCs w:val="24"/>
        </w:rPr>
        <w:t>функциональных зон с учетом границ земельных участках, сведения о которых внесены в ЕГРН</w:t>
      </w:r>
      <w:r>
        <w:t>.</w:t>
      </w:r>
    </w:p>
    <w:p w:rsidR="00FA1F4E" w:rsidRDefault="003B2CFF">
      <w:pPr>
        <w:rPr>
          <w:szCs w:val="24"/>
        </w:rPr>
      </w:pPr>
      <w:r>
        <w:rPr>
          <w:bCs/>
        </w:rPr>
        <w:t>Изменения в части уточнения функциональных зон, установленных действующим генеральным планом в связи с размещением планируемых объектов федерального значения, объектов регионального значения, объектов местного значения муниципального района не вносятся.</w:t>
      </w:r>
    </w:p>
    <w:p w:rsidR="00FA1F4E" w:rsidRDefault="00FA1F4E"/>
    <w:p w:rsidR="00FA1F4E" w:rsidRDefault="003B2CFF">
      <w:pPr>
        <w:pStyle w:val="20"/>
      </w:pPr>
      <w:bookmarkStart w:id="19" w:name="_Toc106831755"/>
      <w:bookmarkStart w:id="20" w:name="_Toc106831754"/>
      <w:r>
        <w:t>5.1. Уточнение границ функциональных зон</w:t>
      </w:r>
      <w:bookmarkEnd w:id="19"/>
    </w:p>
    <w:p w:rsidR="00FA1F4E" w:rsidRDefault="00FA1F4E"/>
    <w:p w:rsidR="00FA1F4E" w:rsidRDefault="003B2CFF">
      <w:r>
        <w:t>В связи с тем, что после утверждения действующего генерального плана в правилах землепользования и застройки были внесены уточнения в границы территориальных зон с учетом границ земельных участков, сведения о которых внесены в ЕГРН, данные уточнения учтены при актуализации сведений о границах функциональных зон в границах города Лодейное Поле (проведена корректировка выявленных несоответствий границ функциональных зон и земельных участков).</w:t>
      </w:r>
    </w:p>
    <w:p w:rsidR="00FA1F4E" w:rsidRDefault="003B2CFF">
      <w:r>
        <w:rPr>
          <w:szCs w:val="24"/>
        </w:rPr>
        <w:t>Сведения о земельных участках, в отношении которых внесены уточнения 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представлена в таблице 1.</w:t>
      </w:r>
      <w:r>
        <w:t xml:space="preserve"> </w:t>
      </w:r>
    </w:p>
    <w:p w:rsidR="00FA1F4E" w:rsidRDefault="00FA1F4E">
      <w:pPr>
        <w:ind w:firstLine="0"/>
      </w:pPr>
    </w:p>
    <w:p w:rsidR="00FA1F4E" w:rsidRDefault="003B2CFF">
      <w:pPr>
        <w:ind w:firstLine="0"/>
        <w:jc w:val="center"/>
      </w:pPr>
      <w:r>
        <w:t>Таблица 1. Сведения о внесении изменений в функциональные зоны, установленные действующим генеральным планом в границах города Лодейное Поле</w:t>
      </w:r>
    </w:p>
    <w:tbl>
      <w:tblPr>
        <w:tblStyle w:val="affc"/>
        <w:tblW w:w="0" w:type="auto"/>
        <w:tblLayout w:type="fixed"/>
        <w:tblLook w:val="04A0" w:firstRow="1" w:lastRow="0" w:firstColumn="1" w:lastColumn="0" w:noHBand="0" w:noVBand="1"/>
      </w:tblPr>
      <w:tblGrid>
        <w:gridCol w:w="503"/>
        <w:gridCol w:w="2264"/>
        <w:gridCol w:w="1816"/>
        <w:gridCol w:w="1860"/>
        <w:gridCol w:w="1905"/>
        <w:gridCol w:w="2073"/>
      </w:tblGrid>
      <w:tr w:rsidR="00FA1F4E">
        <w:trPr>
          <w:tblHeader/>
        </w:trPr>
        <w:tc>
          <w:tcPr>
            <w:tcW w:w="503" w:type="dxa"/>
            <w:vAlign w:val="center"/>
          </w:tcPr>
          <w:p w:rsidR="00FA1F4E" w:rsidRDefault="003B2CFF">
            <w:pPr>
              <w:ind w:firstLine="0"/>
              <w:jc w:val="center"/>
              <w:rPr>
                <w:rFonts w:cs="Times New Roman"/>
                <w:sz w:val="22"/>
              </w:rPr>
            </w:pPr>
            <w:r>
              <w:rPr>
                <w:rFonts w:cs="Times New Roman"/>
                <w:sz w:val="22"/>
              </w:rPr>
              <w:t>№</w:t>
            </w:r>
          </w:p>
        </w:tc>
        <w:tc>
          <w:tcPr>
            <w:tcW w:w="2264" w:type="dxa"/>
            <w:vAlign w:val="center"/>
          </w:tcPr>
          <w:p w:rsidR="00FA1F4E" w:rsidRDefault="003B2CFF">
            <w:pPr>
              <w:ind w:firstLine="0"/>
              <w:jc w:val="center"/>
              <w:rPr>
                <w:rFonts w:cs="Times New Roman"/>
                <w:sz w:val="22"/>
              </w:rPr>
            </w:pPr>
            <w:r>
              <w:rPr>
                <w:rFonts w:cs="Times New Roman"/>
                <w:sz w:val="22"/>
              </w:rPr>
              <w:t>Кадастровый номер земельного участка</w:t>
            </w:r>
          </w:p>
        </w:tc>
        <w:tc>
          <w:tcPr>
            <w:tcW w:w="1816" w:type="dxa"/>
            <w:vAlign w:val="center"/>
          </w:tcPr>
          <w:p w:rsidR="00FA1F4E" w:rsidRDefault="003B2CFF">
            <w:pPr>
              <w:ind w:firstLine="0"/>
              <w:jc w:val="center"/>
              <w:rPr>
                <w:rFonts w:cs="Times New Roman"/>
                <w:sz w:val="22"/>
              </w:rPr>
            </w:pPr>
            <w:r>
              <w:rPr>
                <w:rFonts w:cs="Times New Roman"/>
                <w:sz w:val="22"/>
              </w:rPr>
              <w:t>Адрес</w:t>
            </w:r>
          </w:p>
        </w:tc>
        <w:tc>
          <w:tcPr>
            <w:tcW w:w="1860" w:type="dxa"/>
            <w:vAlign w:val="center"/>
          </w:tcPr>
          <w:p w:rsidR="00FA1F4E" w:rsidRDefault="003B2CFF">
            <w:pPr>
              <w:ind w:firstLine="0"/>
              <w:jc w:val="center"/>
              <w:rPr>
                <w:rFonts w:cs="Times New Roman"/>
                <w:sz w:val="22"/>
              </w:rPr>
            </w:pPr>
            <w:r>
              <w:rPr>
                <w:rFonts w:cs="Times New Roman"/>
                <w:sz w:val="22"/>
              </w:rPr>
              <w:t>Вид разрешенного использования в соответствии со сведениями ЕГРН</w:t>
            </w:r>
          </w:p>
        </w:tc>
        <w:tc>
          <w:tcPr>
            <w:tcW w:w="1905" w:type="dxa"/>
            <w:vAlign w:val="center"/>
          </w:tcPr>
          <w:p w:rsidR="00FA1F4E" w:rsidRDefault="003B2CFF">
            <w:pPr>
              <w:ind w:firstLine="0"/>
              <w:jc w:val="center"/>
              <w:rPr>
                <w:rFonts w:cs="Times New Roman"/>
                <w:sz w:val="22"/>
              </w:rPr>
            </w:pPr>
            <w:r>
              <w:rPr>
                <w:rFonts w:cs="Times New Roman"/>
                <w:sz w:val="22"/>
              </w:rPr>
              <w:t>Функциональная зона, установленная действующим генеральным планом</w:t>
            </w:r>
          </w:p>
        </w:tc>
        <w:tc>
          <w:tcPr>
            <w:tcW w:w="2073" w:type="dxa"/>
            <w:vAlign w:val="center"/>
          </w:tcPr>
          <w:p w:rsidR="00FA1F4E" w:rsidRDefault="003B2CFF">
            <w:pPr>
              <w:ind w:firstLine="0"/>
              <w:jc w:val="center"/>
              <w:rPr>
                <w:rFonts w:cs="Times New Roman"/>
                <w:sz w:val="22"/>
              </w:rPr>
            </w:pPr>
            <w:r>
              <w:rPr>
                <w:rFonts w:cs="Times New Roman"/>
                <w:sz w:val="22"/>
              </w:rPr>
              <w:t>Функциональная зона в соответствии с изменениями в генеральный план</w:t>
            </w:r>
          </w:p>
        </w:tc>
      </w:tr>
      <w:tr w:rsidR="00FA1F4E">
        <w:tc>
          <w:tcPr>
            <w:tcW w:w="503" w:type="dxa"/>
          </w:tcPr>
          <w:p w:rsidR="00FA1F4E" w:rsidRDefault="003B2CFF">
            <w:pPr>
              <w:ind w:firstLine="0"/>
              <w:rPr>
                <w:rFonts w:cs="Times New Roman"/>
                <w:sz w:val="22"/>
              </w:rPr>
            </w:pPr>
            <w:r>
              <w:rPr>
                <w:rFonts w:cs="Times New Roman"/>
                <w:sz w:val="22"/>
              </w:rPr>
              <w:t>1</w:t>
            </w:r>
          </w:p>
        </w:tc>
        <w:tc>
          <w:tcPr>
            <w:tcW w:w="2264" w:type="dxa"/>
          </w:tcPr>
          <w:p w:rsidR="00FA1F4E" w:rsidRDefault="003B2CFF">
            <w:pPr>
              <w:ind w:firstLine="0"/>
              <w:rPr>
                <w:rFonts w:cs="Times New Roman"/>
                <w:sz w:val="22"/>
              </w:rPr>
            </w:pPr>
            <w:r>
              <w:rPr>
                <w:rFonts w:cs="Times New Roman"/>
                <w:sz w:val="22"/>
              </w:rPr>
              <w:t>47:06:0103004:40 (с учетом расширения территории ГИБДД)</w:t>
            </w:r>
          </w:p>
        </w:tc>
        <w:tc>
          <w:tcPr>
            <w:tcW w:w="1816" w:type="dxa"/>
          </w:tcPr>
          <w:p w:rsidR="00FA1F4E" w:rsidRDefault="003B2CFF">
            <w:pPr>
              <w:ind w:firstLine="0"/>
              <w:rPr>
                <w:rFonts w:cs="Times New Roman"/>
                <w:sz w:val="22"/>
              </w:rPr>
            </w:pPr>
            <w:r>
              <w:rPr>
                <w:rFonts w:cs="Times New Roman"/>
                <w:sz w:val="22"/>
              </w:rPr>
              <w:t xml:space="preserve">ул. Железнодорожная, д. 7 </w:t>
            </w:r>
          </w:p>
        </w:tc>
        <w:tc>
          <w:tcPr>
            <w:tcW w:w="1860" w:type="dxa"/>
          </w:tcPr>
          <w:p w:rsidR="00FA1F4E" w:rsidRDefault="003B2CFF">
            <w:pPr>
              <w:ind w:firstLine="0"/>
              <w:rPr>
                <w:rFonts w:cs="Times New Roman"/>
                <w:sz w:val="22"/>
              </w:rPr>
            </w:pPr>
            <w:r>
              <w:rPr>
                <w:rFonts w:cs="Times New Roman"/>
                <w:sz w:val="22"/>
              </w:rPr>
              <w:t>под административное здание (территория ГИБДД)</w:t>
            </w:r>
          </w:p>
        </w:tc>
        <w:tc>
          <w:tcPr>
            <w:tcW w:w="1905" w:type="dxa"/>
          </w:tcPr>
          <w:p w:rsidR="00FA1F4E" w:rsidRDefault="003B2CFF">
            <w:pPr>
              <w:autoSpaceDE w:val="0"/>
              <w:autoSpaceDN w:val="0"/>
              <w:adjustRightInd w:val="0"/>
              <w:ind w:firstLine="0"/>
              <w:contextualSpacing/>
              <w:jc w:val="left"/>
              <w:rPr>
                <w:rFonts w:cs="Times New Roman"/>
                <w:bCs/>
                <w:iCs/>
                <w:sz w:val="22"/>
              </w:rPr>
            </w:pPr>
            <w:r>
              <w:rPr>
                <w:rFonts w:cs="Times New Roman"/>
                <w:sz w:val="22"/>
              </w:rPr>
              <w:t xml:space="preserve">Две функциональные зоны: </w:t>
            </w:r>
            <w:r>
              <w:rPr>
                <w:rFonts w:cs="Times New Roman"/>
                <w:bCs/>
                <w:iCs/>
                <w:sz w:val="22"/>
              </w:rPr>
              <w:t>дона транспортной инфраструктуры и производственная зона</w:t>
            </w:r>
          </w:p>
        </w:tc>
        <w:tc>
          <w:tcPr>
            <w:tcW w:w="2073" w:type="dxa"/>
          </w:tcPr>
          <w:p w:rsidR="00FA1F4E" w:rsidRDefault="003B2CFF">
            <w:pPr>
              <w:autoSpaceDE w:val="0"/>
              <w:autoSpaceDN w:val="0"/>
              <w:adjustRightInd w:val="0"/>
              <w:ind w:firstLine="0"/>
              <w:contextualSpacing/>
              <w:jc w:val="left"/>
              <w:rPr>
                <w:rFonts w:cs="Times New Roman"/>
                <w:bCs/>
                <w:iCs/>
                <w:sz w:val="22"/>
              </w:rPr>
            </w:pPr>
            <w:r>
              <w:rPr>
                <w:rFonts w:cs="Times New Roman"/>
                <w:bCs/>
                <w:iCs/>
                <w:sz w:val="22"/>
              </w:rPr>
              <w:t>Зона транспортной инфраструктуры</w:t>
            </w:r>
          </w:p>
          <w:p w:rsidR="00FA1F4E" w:rsidRDefault="00FA1F4E">
            <w:pPr>
              <w:ind w:firstLine="0"/>
              <w:rPr>
                <w:rFonts w:cs="Times New Roman"/>
                <w:sz w:val="22"/>
              </w:rPr>
            </w:pPr>
          </w:p>
        </w:tc>
      </w:tr>
      <w:tr w:rsidR="00FA1F4E">
        <w:tc>
          <w:tcPr>
            <w:tcW w:w="503" w:type="dxa"/>
          </w:tcPr>
          <w:p w:rsidR="00FA1F4E" w:rsidRDefault="003B2CFF">
            <w:pPr>
              <w:ind w:firstLine="0"/>
              <w:rPr>
                <w:rFonts w:cs="Times New Roman"/>
                <w:sz w:val="22"/>
              </w:rPr>
            </w:pPr>
            <w:r>
              <w:rPr>
                <w:rFonts w:cs="Times New Roman"/>
                <w:sz w:val="22"/>
              </w:rPr>
              <w:t>2</w:t>
            </w:r>
          </w:p>
        </w:tc>
        <w:tc>
          <w:tcPr>
            <w:tcW w:w="2264" w:type="dxa"/>
          </w:tcPr>
          <w:p w:rsidR="00FA1F4E" w:rsidRDefault="003B2CFF">
            <w:pPr>
              <w:ind w:firstLine="0"/>
              <w:rPr>
                <w:rFonts w:cs="Times New Roman"/>
                <w:sz w:val="22"/>
              </w:rPr>
            </w:pPr>
            <w:r>
              <w:rPr>
                <w:rFonts w:cs="Times New Roman"/>
                <w:sz w:val="22"/>
              </w:rPr>
              <w:t>Земельные участки по ул. Лесная (47:06:0103001:1328, 47:06:0103001:238 и 47:06:0103001:239)</w:t>
            </w:r>
          </w:p>
        </w:tc>
        <w:tc>
          <w:tcPr>
            <w:tcW w:w="1816" w:type="dxa"/>
          </w:tcPr>
          <w:p w:rsidR="00FA1F4E" w:rsidRDefault="003B2CFF">
            <w:pPr>
              <w:ind w:firstLine="0"/>
              <w:rPr>
                <w:rFonts w:cs="Times New Roman"/>
                <w:sz w:val="22"/>
              </w:rPr>
            </w:pPr>
            <w:r>
              <w:rPr>
                <w:rFonts w:cs="Times New Roman"/>
                <w:sz w:val="22"/>
              </w:rPr>
              <w:t>ул. Лесная, участок № 18</w:t>
            </w:r>
          </w:p>
        </w:tc>
        <w:tc>
          <w:tcPr>
            <w:tcW w:w="1860" w:type="dxa"/>
          </w:tcPr>
          <w:p w:rsidR="00FA1F4E" w:rsidRDefault="003B2CFF">
            <w:pPr>
              <w:ind w:firstLine="0"/>
              <w:rPr>
                <w:rFonts w:cs="Times New Roman"/>
                <w:sz w:val="22"/>
              </w:rPr>
            </w:pPr>
            <w:r>
              <w:rPr>
                <w:rFonts w:cs="Times New Roman"/>
                <w:sz w:val="22"/>
              </w:rPr>
              <w:t>малоэтажная многоквартирная жилая застройка</w:t>
            </w:r>
          </w:p>
        </w:tc>
        <w:tc>
          <w:tcPr>
            <w:tcW w:w="1905" w:type="dxa"/>
          </w:tcPr>
          <w:p w:rsidR="00FA1F4E" w:rsidRDefault="003B2CFF">
            <w:pPr>
              <w:ind w:firstLine="0"/>
              <w:rPr>
                <w:rFonts w:cs="Times New Roman"/>
                <w:sz w:val="22"/>
              </w:rPr>
            </w:pPr>
            <w:r>
              <w:rPr>
                <w:rFonts w:cs="Times New Roman"/>
                <w:sz w:val="22"/>
              </w:rPr>
              <w:t>З</w:t>
            </w:r>
            <w:r>
              <w:rPr>
                <w:rFonts w:cs="Times New Roman"/>
                <w:bCs/>
                <w:iCs/>
                <w:sz w:val="22"/>
              </w:rPr>
              <w:t>она застройки малоэтажными жилыми домами</w:t>
            </w:r>
          </w:p>
        </w:tc>
        <w:tc>
          <w:tcPr>
            <w:tcW w:w="2073" w:type="dxa"/>
          </w:tcPr>
          <w:p w:rsidR="00FA1F4E" w:rsidRDefault="003B2CFF">
            <w:pPr>
              <w:ind w:firstLine="0"/>
              <w:rPr>
                <w:rFonts w:cs="Times New Roman"/>
                <w:bCs/>
                <w:iCs/>
                <w:sz w:val="22"/>
              </w:rPr>
            </w:pPr>
            <w:r>
              <w:rPr>
                <w:rFonts w:cs="Times New Roman"/>
                <w:sz w:val="22"/>
              </w:rPr>
              <w:t>З</w:t>
            </w:r>
            <w:r>
              <w:rPr>
                <w:rFonts w:cs="Times New Roman"/>
                <w:bCs/>
                <w:iCs/>
                <w:sz w:val="22"/>
              </w:rPr>
              <w:t>она застройки среднеэтажными жилыми домами;</w:t>
            </w:r>
          </w:p>
          <w:p w:rsidR="00FA1F4E" w:rsidRDefault="003B2CFF">
            <w:pPr>
              <w:ind w:firstLine="0"/>
              <w:rPr>
                <w:rFonts w:cs="Times New Roman"/>
                <w:sz w:val="22"/>
              </w:rPr>
            </w:pPr>
            <w:r>
              <w:rPr>
                <w:rFonts w:cs="Times New Roman"/>
                <w:bCs/>
                <w:iCs/>
                <w:sz w:val="22"/>
              </w:rPr>
              <w:t xml:space="preserve">земельные участки с кадастровыми номерами </w:t>
            </w:r>
            <w:r>
              <w:rPr>
                <w:rFonts w:cs="Times New Roman"/>
                <w:sz w:val="22"/>
              </w:rPr>
              <w:t>47:06:0103001:238 и 47:06:0103001:239:</w:t>
            </w:r>
            <w:r>
              <w:rPr>
                <w:rFonts w:cs="Times New Roman"/>
                <w:bCs/>
                <w:iCs/>
                <w:sz w:val="22"/>
              </w:rPr>
              <w:t xml:space="preserve"> 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3</w:t>
            </w:r>
          </w:p>
        </w:tc>
        <w:tc>
          <w:tcPr>
            <w:tcW w:w="2264" w:type="dxa"/>
          </w:tcPr>
          <w:p w:rsidR="00FA1F4E" w:rsidRDefault="003B2CFF">
            <w:pPr>
              <w:ind w:firstLine="0"/>
              <w:rPr>
                <w:rFonts w:cs="Times New Roman"/>
                <w:sz w:val="22"/>
              </w:rPr>
            </w:pPr>
            <w:r>
              <w:rPr>
                <w:rFonts w:cs="Times New Roman"/>
                <w:sz w:val="22"/>
              </w:rPr>
              <w:t>47:06:0102005:818</w:t>
            </w:r>
          </w:p>
        </w:tc>
        <w:tc>
          <w:tcPr>
            <w:tcW w:w="1816" w:type="dxa"/>
          </w:tcPr>
          <w:p w:rsidR="00FA1F4E" w:rsidRDefault="003B2CFF">
            <w:pPr>
              <w:ind w:firstLine="0"/>
              <w:rPr>
                <w:rFonts w:cs="Times New Roman"/>
                <w:sz w:val="22"/>
              </w:rPr>
            </w:pPr>
            <w:r>
              <w:rPr>
                <w:rFonts w:cs="Times New Roman"/>
                <w:sz w:val="22"/>
              </w:rPr>
              <w:t xml:space="preserve">ул. Привокзальная, </w:t>
            </w:r>
            <w:r>
              <w:rPr>
                <w:rFonts w:cs="Times New Roman"/>
                <w:sz w:val="22"/>
              </w:rPr>
              <w:lastRenderedPageBreak/>
              <w:t>д. 15</w:t>
            </w:r>
          </w:p>
        </w:tc>
        <w:tc>
          <w:tcPr>
            <w:tcW w:w="1860" w:type="dxa"/>
          </w:tcPr>
          <w:p w:rsidR="00FA1F4E" w:rsidRDefault="003B2CFF">
            <w:pPr>
              <w:ind w:firstLine="0"/>
              <w:rPr>
                <w:rFonts w:cs="Times New Roman"/>
                <w:sz w:val="22"/>
              </w:rPr>
            </w:pPr>
            <w:r>
              <w:rPr>
                <w:rFonts w:cs="Times New Roman"/>
                <w:sz w:val="22"/>
              </w:rPr>
              <w:lastRenderedPageBreak/>
              <w:t xml:space="preserve">для малоэтажного </w:t>
            </w:r>
            <w:r>
              <w:rPr>
                <w:rFonts w:cs="Times New Roman"/>
                <w:sz w:val="22"/>
              </w:rPr>
              <w:lastRenderedPageBreak/>
              <w:t>жилищного строительства</w:t>
            </w:r>
          </w:p>
        </w:tc>
        <w:tc>
          <w:tcPr>
            <w:tcW w:w="1905" w:type="dxa"/>
          </w:tcPr>
          <w:p w:rsidR="00FA1F4E" w:rsidRDefault="003B2CFF">
            <w:pPr>
              <w:ind w:firstLine="0"/>
              <w:rPr>
                <w:rFonts w:cs="Times New Roman"/>
                <w:sz w:val="22"/>
              </w:rPr>
            </w:pPr>
            <w:r>
              <w:rPr>
                <w:rFonts w:cs="Times New Roman"/>
                <w:bCs/>
                <w:iCs/>
                <w:sz w:val="22"/>
              </w:rPr>
              <w:lastRenderedPageBreak/>
              <w:t xml:space="preserve">Зона застройки среднеэтажными </w:t>
            </w:r>
            <w:r>
              <w:rPr>
                <w:rFonts w:cs="Times New Roman"/>
                <w:bCs/>
                <w:iCs/>
                <w:sz w:val="22"/>
              </w:rPr>
              <w:lastRenderedPageBreak/>
              <w:t>жилыми домами</w:t>
            </w:r>
          </w:p>
        </w:tc>
        <w:tc>
          <w:tcPr>
            <w:tcW w:w="2073" w:type="dxa"/>
          </w:tcPr>
          <w:p w:rsidR="00FA1F4E" w:rsidRDefault="003B2CFF">
            <w:pPr>
              <w:ind w:firstLine="0"/>
              <w:rPr>
                <w:rFonts w:cs="Times New Roman"/>
                <w:sz w:val="22"/>
              </w:rPr>
            </w:pPr>
            <w:r>
              <w:rPr>
                <w:rFonts w:cs="Times New Roman"/>
                <w:bCs/>
                <w:iCs/>
                <w:sz w:val="22"/>
              </w:rPr>
              <w:lastRenderedPageBreak/>
              <w:t xml:space="preserve">Зона застройки малоэтажными </w:t>
            </w:r>
            <w:r>
              <w:rPr>
                <w:rFonts w:cs="Times New Roman"/>
                <w:bCs/>
                <w:iCs/>
                <w:sz w:val="22"/>
              </w:rPr>
              <w:lastRenderedPageBreak/>
              <w:t>жилыми домами</w:t>
            </w:r>
          </w:p>
        </w:tc>
      </w:tr>
      <w:tr w:rsidR="00FA1F4E">
        <w:tc>
          <w:tcPr>
            <w:tcW w:w="503" w:type="dxa"/>
          </w:tcPr>
          <w:p w:rsidR="00FA1F4E" w:rsidRDefault="003B2CFF">
            <w:pPr>
              <w:ind w:firstLine="0"/>
              <w:rPr>
                <w:rFonts w:cs="Times New Roman"/>
                <w:sz w:val="22"/>
              </w:rPr>
            </w:pPr>
            <w:r>
              <w:rPr>
                <w:rFonts w:cs="Times New Roman"/>
                <w:sz w:val="22"/>
              </w:rPr>
              <w:lastRenderedPageBreak/>
              <w:t>4</w:t>
            </w:r>
          </w:p>
        </w:tc>
        <w:tc>
          <w:tcPr>
            <w:tcW w:w="2264" w:type="dxa"/>
          </w:tcPr>
          <w:p w:rsidR="00FA1F4E" w:rsidRDefault="003B2CFF">
            <w:pPr>
              <w:ind w:firstLine="0"/>
              <w:rPr>
                <w:rFonts w:cs="Times New Roman"/>
                <w:sz w:val="22"/>
              </w:rPr>
            </w:pPr>
            <w:r>
              <w:rPr>
                <w:rFonts w:cs="Times New Roman"/>
                <w:sz w:val="22"/>
              </w:rPr>
              <w:t>47:06:0102005:2658</w:t>
            </w:r>
          </w:p>
        </w:tc>
        <w:tc>
          <w:tcPr>
            <w:tcW w:w="1816" w:type="dxa"/>
          </w:tcPr>
          <w:p w:rsidR="00FA1F4E" w:rsidRDefault="003B2CFF">
            <w:pPr>
              <w:ind w:firstLine="0"/>
              <w:rPr>
                <w:rFonts w:cs="Times New Roman"/>
                <w:sz w:val="22"/>
              </w:rPr>
            </w:pPr>
            <w:r>
              <w:rPr>
                <w:rFonts w:cs="Times New Roman"/>
                <w:sz w:val="22"/>
              </w:rPr>
              <w:t>пр. Ленина, д. 25</w:t>
            </w:r>
          </w:p>
        </w:tc>
        <w:tc>
          <w:tcPr>
            <w:tcW w:w="1860" w:type="dxa"/>
          </w:tcPr>
          <w:p w:rsidR="00FA1F4E" w:rsidRDefault="003B2CFF">
            <w:pPr>
              <w:ind w:firstLine="0"/>
              <w:rPr>
                <w:rFonts w:cs="Times New Roman"/>
                <w:sz w:val="22"/>
              </w:rPr>
            </w:pPr>
            <w:r>
              <w:rPr>
                <w:rFonts w:cs="Times New Roman"/>
                <w:sz w:val="22"/>
              </w:rPr>
              <w:t>здание администрации парка «Свирская Победа»</w:t>
            </w:r>
          </w:p>
        </w:tc>
        <w:tc>
          <w:tcPr>
            <w:tcW w:w="1905" w:type="dxa"/>
          </w:tcPr>
          <w:p w:rsidR="00FA1F4E" w:rsidRDefault="003B2CFF">
            <w:pPr>
              <w:ind w:firstLine="0"/>
              <w:rPr>
                <w:rFonts w:cs="Times New Roman"/>
                <w:sz w:val="22"/>
              </w:rPr>
            </w:pPr>
            <w:r>
              <w:rPr>
                <w:rFonts w:cs="Times New Roman"/>
                <w:bCs/>
                <w:iCs/>
                <w:sz w:val="22"/>
              </w:rPr>
              <w:t>Зона застройки малоэтажными жилыми домами</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5</w:t>
            </w:r>
          </w:p>
        </w:tc>
        <w:tc>
          <w:tcPr>
            <w:tcW w:w="2264" w:type="dxa"/>
          </w:tcPr>
          <w:p w:rsidR="00FA1F4E" w:rsidRDefault="003B2CFF">
            <w:pPr>
              <w:ind w:firstLine="0"/>
              <w:rPr>
                <w:rFonts w:cs="Times New Roman"/>
                <w:sz w:val="22"/>
              </w:rPr>
            </w:pPr>
            <w:r>
              <w:rPr>
                <w:rFonts w:cs="Times New Roman"/>
                <w:sz w:val="22"/>
              </w:rPr>
              <w:t>47:06:0102005:812</w:t>
            </w:r>
          </w:p>
        </w:tc>
        <w:tc>
          <w:tcPr>
            <w:tcW w:w="1816" w:type="dxa"/>
          </w:tcPr>
          <w:p w:rsidR="00FA1F4E" w:rsidRDefault="003B2CFF">
            <w:pPr>
              <w:ind w:firstLine="0"/>
              <w:rPr>
                <w:rFonts w:cs="Times New Roman"/>
                <w:sz w:val="22"/>
              </w:rPr>
            </w:pPr>
            <w:r>
              <w:rPr>
                <w:rFonts w:cs="Times New Roman"/>
                <w:sz w:val="22"/>
              </w:rPr>
              <w:t>ул. Титова, участок № 30</w:t>
            </w:r>
          </w:p>
        </w:tc>
        <w:tc>
          <w:tcPr>
            <w:tcW w:w="1860" w:type="dxa"/>
          </w:tcPr>
          <w:p w:rsidR="00FA1F4E" w:rsidRDefault="003B2CFF">
            <w:pPr>
              <w:ind w:firstLine="0"/>
              <w:rPr>
                <w:rFonts w:cs="Times New Roman"/>
                <w:sz w:val="22"/>
              </w:rPr>
            </w:pPr>
            <w:r>
              <w:rPr>
                <w:rFonts w:cs="Times New Roman"/>
                <w:sz w:val="22"/>
              </w:rPr>
              <w:t>для малоэтажного жилищного строительства</w:t>
            </w:r>
          </w:p>
        </w:tc>
        <w:tc>
          <w:tcPr>
            <w:tcW w:w="1905" w:type="dxa"/>
          </w:tcPr>
          <w:p w:rsidR="00FA1F4E" w:rsidRDefault="003B2CFF">
            <w:pPr>
              <w:ind w:firstLine="0"/>
              <w:rPr>
                <w:rFonts w:cs="Times New Roman"/>
                <w:sz w:val="22"/>
              </w:rPr>
            </w:pPr>
            <w:r>
              <w:rPr>
                <w:rFonts w:cs="Times New Roman"/>
                <w:bCs/>
                <w:iCs/>
                <w:sz w:val="22"/>
              </w:rPr>
              <w:t>Зона застройки индивидуальными жилыми домами</w:t>
            </w:r>
          </w:p>
        </w:tc>
        <w:tc>
          <w:tcPr>
            <w:tcW w:w="2073" w:type="dxa"/>
          </w:tcPr>
          <w:p w:rsidR="00FA1F4E" w:rsidRDefault="003B2CFF">
            <w:pPr>
              <w:ind w:firstLine="0"/>
              <w:rPr>
                <w:rFonts w:cs="Times New Roman"/>
                <w:sz w:val="22"/>
              </w:rPr>
            </w:pPr>
            <w:r>
              <w:rPr>
                <w:rFonts w:cs="Times New Roman"/>
                <w:bCs/>
                <w:iCs/>
                <w:sz w:val="22"/>
              </w:rPr>
              <w:t>Зона застройки малоэтажными жилыми домами</w:t>
            </w:r>
          </w:p>
        </w:tc>
      </w:tr>
      <w:tr w:rsidR="00FA1F4E">
        <w:tc>
          <w:tcPr>
            <w:tcW w:w="503" w:type="dxa"/>
          </w:tcPr>
          <w:p w:rsidR="00FA1F4E" w:rsidRDefault="003B2CFF">
            <w:pPr>
              <w:ind w:firstLine="0"/>
              <w:rPr>
                <w:rFonts w:cs="Times New Roman"/>
                <w:sz w:val="22"/>
              </w:rPr>
            </w:pPr>
            <w:r>
              <w:rPr>
                <w:rFonts w:cs="Times New Roman"/>
                <w:sz w:val="22"/>
              </w:rPr>
              <w:t>6</w:t>
            </w:r>
          </w:p>
        </w:tc>
        <w:tc>
          <w:tcPr>
            <w:tcW w:w="2264" w:type="dxa"/>
          </w:tcPr>
          <w:p w:rsidR="00FA1F4E" w:rsidRDefault="003B2CFF">
            <w:pPr>
              <w:ind w:firstLine="0"/>
              <w:rPr>
                <w:rFonts w:cs="Times New Roman"/>
                <w:sz w:val="22"/>
              </w:rPr>
            </w:pPr>
            <w:r>
              <w:rPr>
                <w:rFonts w:cs="Times New Roman"/>
                <w:sz w:val="22"/>
              </w:rPr>
              <w:t>47:06:0102006:364</w:t>
            </w:r>
          </w:p>
        </w:tc>
        <w:tc>
          <w:tcPr>
            <w:tcW w:w="1816" w:type="dxa"/>
          </w:tcPr>
          <w:p w:rsidR="00FA1F4E" w:rsidRDefault="003B2CFF">
            <w:pPr>
              <w:ind w:firstLine="0"/>
              <w:rPr>
                <w:rFonts w:cs="Times New Roman"/>
                <w:sz w:val="22"/>
              </w:rPr>
            </w:pPr>
            <w:r>
              <w:rPr>
                <w:rFonts w:cs="Times New Roman"/>
                <w:sz w:val="22"/>
              </w:rPr>
              <w:t>пр. Ленина, д. 3</w:t>
            </w:r>
          </w:p>
        </w:tc>
        <w:tc>
          <w:tcPr>
            <w:tcW w:w="1860" w:type="dxa"/>
          </w:tcPr>
          <w:p w:rsidR="00FA1F4E" w:rsidRDefault="003B2CFF">
            <w:pPr>
              <w:ind w:firstLine="0"/>
              <w:rPr>
                <w:rFonts w:cs="Times New Roman"/>
                <w:sz w:val="22"/>
              </w:rPr>
            </w:pPr>
            <w:r>
              <w:rPr>
                <w:rFonts w:cs="Times New Roman"/>
                <w:sz w:val="22"/>
              </w:rPr>
              <w:t>отдельно стоящие индивидуальные, усадебные жилые дома с придомовыми участками</w:t>
            </w:r>
          </w:p>
        </w:tc>
        <w:tc>
          <w:tcPr>
            <w:tcW w:w="1905" w:type="dxa"/>
          </w:tcPr>
          <w:p w:rsidR="00FA1F4E" w:rsidRDefault="003B2CFF">
            <w:pPr>
              <w:ind w:firstLine="0"/>
              <w:rPr>
                <w:rFonts w:cs="Times New Roman"/>
                <w:sz w:val="22"/>
              </w:rPr>
            </w:pPr>
            <w:r>
              <w:rPr>
                <w:rFonts w:cs="Times New Roman"/>
                <w:bCs/>
                <w:iCs/>
                <w:sz w:val="22"/>
              </w:rPr>
              <w:t>Общественно-деловая зона</w:t>
            </w:r>
          </w:p>
        </w:tc>
        <w:tc>
          <w:tcPr>
            <w:tcW w:w="2073" w:type="dxa"/>
          </w:tcPr>
          <w:p w:rsidR="00FA1F4E" w:rsidRDefault="003B2CFF">
            <w:pPr>
              <w:ind w:firstLine="0"/>
              <w:rPr>
                <w:rFonts w:cs="Times New Roman"/>
                <w:sz w:val="22"/>
              </w:rPr>
            </w:pPr>
            <w:r>
              <w:rPr>
                <w:rFonts w:cs="Times New Roman"/>
                <w:bCs/>
                <w:iCs/>
                <w:sz w:val="22"/>
              </w:rPr>
              <w:t>Зона застройки индивидуальными жилыми домами</w:t>
            </w:r>
          </w:p>
        </w:tc>
      </w:tr>
      <w:tr w:rsidR="00FA1F4E">
        <w:tc>
          <w:tcPr>
            <w:tcW w:w="503" w:type="dxa"/>
          </w:tcPr>
          <w:p w:rsidR="00FA1F4E" w:rsidRDefault="003B2CFF">
            <w:pPr>
              <w:ind w:firstLine="0"/>
              <w:rPr>
                <w:rFonts w:cs="Times New Roman"/>
                <w:sz w:val="22"/>
              </w:rPr>
            </w:pPr>
            <w:r>
              <w:rPr>
                <w:rFonts w:cs="Times New Roman"/>
                <w:sz w:val="22"/>
              </w:rPr>
              <w:t>7</w:t>
            </w:r>
          </w:p>
        </w:tc>
        <w:tc>
          <w:tcPr>
            <w:tcW w:w="2264" w:type="dxa"/>
          </w:tcPr>
          <w:p w:rsidR="00FA1F4E" w:rsidRDefault="003B2CFF">
            <w:pPr>
              <w:ind w:firstLine="0"/>
              <w:rPr>
                <w:rFonts w:cs="Times New Roman"/>
                <w:sz w:val="22"/>
              </w:rPr>
            </w:pPr>
            <w:r>
              <w:rPr>
                <w:rFonts w:cs="Times New Roman"/>
                <w:sz w:val="22"/>
              </w:rPr>
              <w:t>47:06:0102003:72</w:t>
            </w:r>
          </w:p>
        </w:tc>
        <w:tc>
          <w:tcPr>
            <w:tcW w:w="1816" w:type="dxa"/>
          </w:tcPr>
          <w:p w:rsidR="00FA1F4E" w:rsidRDefault="003B2CFF">
            <w:pPr>
              <w:ind w:firstLine="0"/>
              <w:rPr>
                <w:rFonts w:cs="Times New Roman"/>
                <w:sz w:val="22"/>
              </w:rPr>
            </w:pPr>
            <w:r>
              <w:rPr>
                <w:rFonts w:cs="Times New Roman"/>
                <w:sz w:val="22"/>
              </w:rPr>
              <w:t>ул. Ульяновская, д. 5</w:t>
            </w:r>
          </w:p>
        </w:tc>
        <w:tc>
          <w:tcPr>
            <w:tcW w:w="1860" w:type="dxa"/>
          </w:tcPr>
          <w:p w:rsidR="00FA1F4E" w:rsidRDefault="003B2CFF">
            <w:pPr>
              <w:ind w:firstLine="0"/>
              <w:rPr>
                <w:rFonts w:cs="Times New Roman"/>
                <w:sz w:val="22"/>
              </w:rPr>
            </w:pPr>
            <w:r>
              <w:rPr>
                <w:rFonts w:cs="Times New Roman"/>
                <w:sz w:val="22"/>
              </w:rPr>
              <w:t>под медвытрезвитель</w:t>
            </w:r>
          </w:p>
        </w:tc>
        <w:tc>
          <w:tcPr>
            <w:tcW w:w="1905" w:type="dxa"/>
          </w:tcPr>
          <w:p w:rsidR="00FA1F4E" w:rsidRDefault="003B2CFF">
            <w:pPr>
              <w:ind w:firstLine="0"/>
              <w:rPr>
                <w:rFonts w:cs="Times New Roman"/>
                <w:sz w:val="22"/>
              </w:rPr>
            </w:pPr>
            <w:r>
              <w:rPr>
                <w:rFonts w:cs="Times New Roman"/>
                <w:bCs/>
                <w:iCs/>
                <w:sz w:val="22"/>
              </w:rPr>
              <w:t>Зона застройки индивидуальными жилыми домами</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8</w:t>
            </w:r>
          </w:p>
        </w:tc>
        <w:tc>
          <w:tcPr>
            <w:tcW w:w="2264" w:type="dxa"/>
          </w:tcPr>
          <w:p w:rsidR="00FA1F4E" w:rsidRDefault="003B2CFF">
            <w:pPr>
              <w:ind w:firstLine="0"/>
              <w:rPr>
                <w:rFonts w:cs="Times New Roman"/>
                <w:sz w:val="22"/>
              </w:rPr>
            </w:pPr>
            <w:r>
              <w:rPr>
                <w:rFonts w:cs="Times New Roman"/>
                <w:sz w:val="22"/>
              </w:rPr>
              <w:t>-</w:t>
            </w:r>
          </w:p>
        </w:tc>
        <w:tc>
          <w:tcPr>
            <w:tcW w:w="1816" w:type="dxa"/>
          </w:tcPr>
          <w:p w:rsidR="00FA1F4E" w:rsidRDefault="003B2CFF">
            <w:pPr>
              <w:ind w:firstLine="0"/>
              <w:rPr>
                <w:rFonts w:cs="Times New Roman"/>
                <w:sz w:val="22"/>
              </w:rPr>
            </w:pPr>
            <w:r>
              <w:rPr>
                <w:rFonts w:cs="Times New Roman"/>
                <w:sz w:val="22"/>
              </w:rPr>
              <w:t>г. Лодейное Поле, в районе территории гражданского кладбища</w:t>
            </w:r>
          </w:p>
        </w:tc>
        <w:tc>
          <w:tcPr>
            <w:tcW w:w="1860" w:type="dxa"/>
          </w:tcPr>
          <w:p w:rsidR="00FA1F4E" w:rsidRDefault="003B2CFF">
            <w:pPr>
              <w:ind w:firstLine="0"/>
              <w:rPr>
                <w:rFonts w:cs="Times New Roman"/>
                <w:sz w:val="22"/>
              </w:rPr>
            </w:pPr>
            <w:r>
              <w:rPr>
                <w:rFonts w:cs="Times New Roman"/>
                <w:sz w:val="22"/>
              </w:rPr>
              <w:t>территория церкви</w:t>
            </w:r>
          </w:p>
        </w:tc>
        <w:tc>
          <w:tcPr>
            <w:tcW w:w="1905" w:type="dxa"/>
          </w:tcPr>
          <w:p w:rsidR="00FA1F4E" w:rsidRDefault="003B2CFF">
            <w:pPr>
              <w:ind w:firstLine="0"/>
              <w:rPr>
                <w:rFonts w:cs="Times New Roman"/>
                <w:sz w:val="22"/>
              </w:rPr>
            </w:pPr>
            <w:r>
              <w:rPr>
                <w:rFonts w:cs="Times New Roman"/>
                <w:bCs/>
                <w:iCs/>
                <w:sz w:val="22"/>
              </w:rPr>
              <w:t>Зона транспортной инфраструктуры</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9</w:t>
            </w:r>
          </w:p>
        </w:tc>
        <w:tc>
          <w:tcPr>
            <w:tcW w:w="2264" w:type="dxa"/>
          </w:tcPr>
          <w:p w:rsidR="00FA1F4E" w:rsidRDefault="003B2CFF">
            <w:pPr>
              <w:ind w:firstLine="0"/>
              <w:rPr>
                <w:rFonts w:cs="Times New Roman"/>
                <w:sz w:val="22"/>
              </w:rPr>
            </w:pPr>
            <w:r>
              <w:rPr>
                <w:rFonts w:cs="Times New Roman"/>
                <w:sz w:val="22"/>
              </w:rPr>
              <w:t>47:06:0103004:1257</w:t>
            </w:r>
          </w:p>
        </w:tc>
        <w:tc>
          <w:tcPr>
            <w:tcW w:w="1816" w:type="dxa"/>
          </w:tcPr>
          <w:p w:rsidR="00FA1F4E" w:rsidRDefault="003B2CFF">
            <w:pPr>
              <w:ind w:firstLine="0"/>
              <w:rPr>
                <w:rFonts w:cs="Times New Roman"/>
                <w:sz w:val="22"/>
              </w:rPr>
            </w:pPr>
            <w:r>
              <w:rPr>
                <w:rFonts w:cs="Times New Roman"/>
                <w:sz w:val="22"/>
              </w:rPr>
              <w:t>ул. Железнодорожная, д. 4</w:t>
            </w:r>
          </w:p>
        </w:tc>
        <w:tc>
          <w:tcPr>
            <w:tcW w:w="1860" w:type="dxa"/>
          </w:tcPr>
          <w:p w:rsidR="00FA1F4E" w:rsidRDefault="003B2CFF">
            <w:pPr>
              <w:ind w:firstLine="0"/>
              <w:rPr>
                <w:rFonts w:cs="Times New Roman"/>
                <w:sz w:val="22"/>
              </w:rPr>
            </w:pPr>
            <w:r>
              <w:rPr>
                <w:rFonts w:cs="Times New Roman"/>
                <w:sz w:val="22"/>
              </w:rPr>
              <w:t>для производственной деятельности, связанной с лесозаготовкой и переработкой древесины</w:t>
            </w:r>
          </w:p>
        </w:tc>
        <w:tc>
          <w:tcPr>
            <w:tcW w:w="1905" w:type="dxa"/>
          </w:tcPr>
          <w:p w:rsidR="00FA1F4E" w:rsidRDefault="003B2CFF">
            <w:pPr>
              <w:ind w:firstLine="0"/>
              <w:rPr>
                <w:rFonts w:cs="Times New Roman"/>
                <w:sz w:val="22"/>
              </w:rPr>
            </w:pPr>
            <w:r>
              <w:rPr>
                <w:rFonts w:cs="Times New Roman"/>
                <w:bCs/>
                <w:iCs/>
                <w:sz w:val="22"/>
              </w:rPr>
              <w:t>Производственная зона</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10</w:t>
            </w:r>
          </w:p>
        </w:tc>
        <w:tc>
          <w:tcPr>
            <w:tcW w:w="2264" w:type="dxa"/>
          </w:tcPr>
          <w:p w:rsidR="00FA1F4E" w:rsidRDefault="003B2CFF">
            <w:pPr>
              <w:ind w:firstLine="0"/>
              <w:rPr>
                <w:rFonts w:cs="Times New Roman"/>
                <w:sz w:val="22"/>
              </w:rPr>
            </w:pPr>
            <w:r>
              <w:rPr>
                <w:rFonts w:cs="Times New Roman"/>
                <w:sz w:val="22"/>
              </w:rPr>
              <w:t>47:06:0102006:397</w:t>
            </w:r>
          </w:p>
        </w:tc>
        <w:tc>
          <w:tcPr>
            <w:tcW w:w="1816" w:type="dxa"/>
          </w:tcPr>
          <w:p w:rsidR="00FA1F4E" w:rsidRDefault="003B2CFF">
            <w:pPr>
              <w:ind w:firstLine="0"/>
              <w:rPr>
                <w:rFonts w:cs="Times New Roman"/>
                <w:sz w:val="22"/>
              </w:rPr>
            </w:pPr>
            <w:r>
              <w:rPr>
                <w:rFonts w:cs="Times New Roman"/>
                <w:sz w:val="22"/>
              </w:rPr>
              <w:t>Республиканский тракт, д. 3, корп. 1 и 2</w:t>
            </w:r>
          </w:p>
        </w:tc>
        <w:tc>
          <w:tcPr>
            <w:tcW w:w="1860" w:type="dxa"/>
          </w:tcPr>
          <w:p w:rsidR="00FA1F4E" w:rsidRDefault="003B2CFF">
            <w:pPr>
              <w:ind w:firstLine="0"/>
              <w:rPr>
                <w:rFonts w:cs="Times New Roman"/>
                <w:sz w:val="22"/>
              </w:rPr>
            </w:pPr>
            <w:r>
              <w:rPr>
                <w:rFonts w:cs="Times New Roman"/>
                <w:sz w:val="22"/>
              </w:rPr>
              <w:t>под торговую деятельность</w:t>
            </w:r>
          </w:p>
        </w:tc>
        <w:tc>
          <w:tcPr>
            <w:tcW w:w="1905" w:type="dxa"/>
          </w:tcPr>
          <w:p w:rsidR="00FA1F4E" w:rsidRDefault="003B2CFF">
            <w:pPr>
              <w:ind w:firstLine="0"/>
              <w:rPr>
                <w:rFonts w:cs="Times New Roman"/>
                <w:sz w:val="22"/>
              </w:rPr>
            </w:pPr>
            <w:r>
              <w:rPr>
                <w:rFonts w:cs="Times New Roman"/>
                <w:bCs/>
                <w:iCs/>
                <w:sz w:val="22"/>
              </w:rPr>
              <w:t>Производственная зона</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11</w:t>
            </w:r>
          </w:p>
        </w:tc>
        <w:tc>
          <w:tcPr>
            <w:tcW w:w="2264" w:type="dxa"/>
          </w:tcPr>
          <w:p w:rsidR="00FA1F4E" w:rsidRDefault="003B2CFF">
            <w:pPr>
              <w:ind w:firstLine="0"/>
              <w:rPr>
                <w:rFonts w:cs="Times New Roman"/>
                <w:sz w:val="22"/>
              </w:rPr>
            </w:pPr>
            <w:r>
              <w:rPr>
                <w:rFonts w:cs="Times New Roman"/>
                <w:sz w:val="22"/>
              </w:rPr>
              <w:t>47:06:0101002:365</w:t>
            </w:r>
          </w:p>
        </w:tc>
        <w:tc>
          <w:tcPr>
            <w:tcW w:w="1816" w:type="dxa"/>
          </w:tcPr>
          <w:p w:rsidR="00FA1F4E" w:rsidRDefault="003B2CFF">
            <w:pPr>
              <w:ind w:firstLine="0"/>
              <w:rPr>
                <w:rFonts w:cs="Times New Roman"/>
                <w:sz w:val="22"/>
              </w:rPr>
            </w:pPr>
            <w:r>
              <w:rPr>
                <w:rFonts w:cs="Times New Roman"/>
                <w:sz w:val="22"/>
              </w:rPr>
              <w:t>Ленинградское шоссе, 71б</w:t>
            </w:r>
          </w:p>
        </w:tc>
        <w:tc>
          <w:tcPr>
            <w:tcW w:w="1860" w:type="dxa"/>
          </w:tcPr>
          <w:p w:rsidR="00FA1F4E" w:rsidRDefault="003B2CFF">
            <w:pPr>
              <w:ind w:firstLine="0"/>
              <w:rPr>
                <w:rFonts w:cs="Times New Roman"/>
                <w:sz w:val="22"/>
              </w:rPr>
            </w:pPr>
            <w:r>
              <w:rPr>
                <w:rFonts w:cs="Times New Roman"/>
                <w:sz w:val="22"/>
              </w:rPr>
              <w:t>под объекты торговли, общественного питания, бытового обслуживания</w:t>
            </w:r>
          </w:p>
        </w:tc>
        <w:tc>
          <w:tcPr>
            <w:tcW w:w="1905" w:type="dxa"/>
          </w:tcPr>
          <w:p w:rsidR="00FA1F4E" w:rsidRDefault="003B2CFF">
            <w:pPr>
              <w:ind w:firstLine="0"/>
              <w:rPr>
                <w:rFonts w:cs="Times New Roman"/>
                <w:sz w:val="22"/>
              </w:rPr>
            </w:pPr>
            <w:r>
              <w:rPr>
                <w:rFonts w:cs="Times New Roman"/>
                <w:bCs/>
                <w:iCs/>
                <w:sz w:val="22"/>
              </w:rPr>
              <w:t xml:space="preserve">Зона озелененных территорий общего пользования </w:t>
            </w:r>
            <w:r>
              <w:rPr>
                <w:rFonts w:cs="Times New Roman"/>
                <w:sz w:val="22"/>
              </w:rPr>
              <w:t>(лесопарки, парки, сады, скверы, бульвары)</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12</w:t>
            </w:r>
          </w:p>
        </w:tc>
        <w:tc>
          <w:tcPr>
            <w:tcW w:w="2264" w:type="dxa"/>
          </w:tcPr>
          <w:p w:rsidR="00FA1F4E" w:rsidRDefault="003B2CFF">
            <w:pPr>
              <w:ind w:firstLine="0"/>
              <w:rPr>
                <w:rFonts w:cs="Times New Roman"/>
                <w:sz w:val="22"/>
              </w:rPr>
            </w:pPr>
            <w:r>
              <w:rPr>
                <w:rFonts w:cs="Times New Roman"/>
                <w:sz w:val="22"/>
              </w:rPr>
              <w:t>47:06:0103001:377</w:t>
            </w:r>
          </w:p>
        </w:tc>
        <w:tc>
          <w:tcPr>
            <w:tcW w:w="1816" w:type="dxa"/>
          </w:tcPr>
          <w:p w:rsidR="00FA1F4E" w:rsidRDefault="003B2CFF">
            <w:pPr>
              <w:ind w:firstLine="0"/>
              <w:rPr>
                <w:rFonts w:cs="Times New Roman"/>
                <w:sz w:val="22"/>
              </w:rPr>
            </w:pPr>
            <w:r>
              <w:rPr>
                <w:rFonts w:cs="Times New Roman"/>
                <w:sz w:val="22"/>
              </w:rPr>
              <w:t>ул. Шмакова, 7</w:t>
            </w:r>
          </w:p>
        </w:tc>
        <w:tc>
          <w:tcPr>
            <w:tcW w:w="1860" w:type="dxa"/>
          </w:tcPr>
          <w:p w:rsidR="00FA1F4E" w:rsidRDefault="003B2CFF">
            <w:pPr>
              <w:ind w:firstLine="0"/>
              <w:rPr>
                <w:rFonts w:cs="Times New Roman"/>
                <w:sz w:val="22"/>
              </w:rPr>
            </w:pPr>
            <w:r>
              <w:rPr>
                <w:rFonts w:cs="Times New Roman"/>
                <w:sz w:val="22"/>
              </w:rPr>
              <w:t>для малоэтажного жилищного строительства</w:t>
            </w:r>
          </w:p>
        </w:tc>
        <w:tc>
          <w:tcPr>
            <w:tcW w:w="1905" w:type="dxa"/>
          </w:tcPr>
          <w:p w:rsidR="00FA1F4E" w:rsidRDefault="003B2CFF">
            <w:pPr>
              <w:ind w:firstLine="0"/>
              <w:rPr>
                <w:rFonts w:cs="Times New Roman"/>
                <w:sz w:val="22"/>
              </w:rPr>
            </w:pPr>
            <w:r>
              <w:rPr>
                <w:rFonts w:cs="Times New Roman"/>
                <w:bCs/>
                <w:iCs/>
                <w:sz w:val="22"/>
              </w:rPr>
              <w:t>Зона застройки индивидуальными жилыми домами</w:t>
            </w:r>
          </w:p>
        </w:tc>
        <w:tc>
          <w:tcPr>
            <w:tcW w:w="2073" w:type="dxa"/>
          </w:tcPr>
          <w:p w:rsidR="00FA1F4E" w:rsidRDefault="003B2CFF">
            <w:pPr>
              <w:ind w:firstLine="0"/>
              <w:rPr>
                <w:rFonts w:cs="Times New Roman"/>
                <w:sz w:val="22"/>
              </w:rPr>
            </w:pPr>
            <w:r>
              <w:rPr>
                <w:rFonts w:cs="Times New Roman"/>
                <w:bCs/>
                <w:iCs/>
                <w:sz w:val="22"/>
              </w:rPr>
              <w:t>Зона застройки малоэтажными жилыми домами</w:t>
            </w:r>
          </w:p>
        </w:tc>
      </w:tr>
      <w:tr w:rsidR="00FA1F4E">
        <w:trPr>
          <w:trHeight w:val="280"/>
        </w:trPr>
        <w:tc>
          <w:tcPr>
            <w:tcW w:w="503" w:type="dxa"/>
          </w:tcPr>
          <w:p w:rsidR="00FA1F4E" w:rsidRDefault="003B2CFF">
            <w:pPr>
              <w:ind w:firstLine="0"/>
              <w:rPr>
                <w:rFonts w:cs="Times New Roman"/>
                <w:sz w:val="22"/>
              </w:rPr>
            </w:pPr>
            <w:r>
              <w:rPr>
                <w:rFonts w:cs="Times New Roman"/>
                <w:sz w:val="22"/>
              </w:rPr>
              <w:t>13</w:t>
            </w:r>
          </w:p>
        </w:tc>
        <w:tc>
          <w:tcPr>
            <w:tcW w:w="2264" w:type="dxa"/>
          </w:tcPr>
          <w:p w:rsidR="00FA1F4E" w:rsidRDefault="003B2CFF">
            <w:pPr>
              <w:ind w:firstLine="0"/>
              <w:rPr>
                <w:rFonts w:cs="Times New Roman"/>
                <w:sz w:val="22"/>
              </w:rPr>
            </w:pPr>
            <w:r>
              <w:rPr>
                <w:rFonts w:cs="Times New Roman"/>
                <w:sz w:val="22"/>
              </w:rPr>
              <w:t xml:space="preserve">Территория рядом с земельным участком </w:t>
            </w:r>
            <w:r>
              <w:rPr>
                <w:rFonts w:cs="Times New Roman"/>
                <w:sz w:val="22"/>
              </w:rPr>
              <w:lastRenderedPageBreak/>
              <w:t>47:06:0103003:526</w:t>
            </w:r>
          </w:p>
        </w:tc>
        <w:tc>
          <w:tcPr>
            <w:tcW w:w="1816" w:type="dxa"/>
          </w:tcPr>
          <w:p w:rsidR="00FA1F4E" w:rsidRDefault="003B2CFF">
            <w:pPr>
              <w:ind w:firstLine="0"/>
              <w:rPr>
                <w:rFonts w:cs="Times New Roman"/>
                <w:sz w:val="22"/>
              </w:rPr>
            </w:pPr>
            <w:r>
              <w:rPr>
                <w:rFonts w:cs="Times New Roman"/>
                <w:sz w:val="22"/>
              </w:rPr>
              <w:lastRenderedPageBreak/>
              <w:t>–</w:t>
            </w:r>
          </w:p>
        </w:tc>
        <w:tc>
          <w:tcPr>
            <w:tcW w:w="1860" w:type="dxa"/>
          </w:tcPr>
          <w:p w:rsidR="00FA1F4E" w:rsidRDefault="00FA1F4E">
            <w:pPr>
              <w:ind w:firstLine="0"/>
              <w:rPr>
                <w:rFonts w:cs="Times New Roman"/>
                <w:sz w:val="22"/>
              </w:rPr>
            </w:pPr>
          </w:p>
        </w:tc>
        <w:tc>
          <w:tcPr>
            <w:tcW w:w="1905" w:type="dxa"/>
          </w:tcPr>
          <w:p w:rsidR="00FA1F4E" w:rsidRDefault="003B2CFF">
            <w:pPr>
              <w:ind w:firstLine="0"/>
              <w:rPr>
                <w:rFonts w:cs="Times New Roman"/>
                <w:sz w:val="22"/>
              </w:rPr>
            </w:pPr>
            <w:r>
              <w:rPr>
                <w:rFonts w:cs="Times New Roman"/>
                <w:bCs/>
                <w:iCs/>
                <w:sz w:val="22"/>
              </w:rPr>
              <w:t xml:space="preserve">Зона застройки малоэтажными </w:t>
            </w:r>
            <w:r>
              <w:rPr>
                <w:rFonts w:cs="Times New Roman"/>
                <w:bCs/>
                <w:iCs/>
                <w:sz w:val="22"/>
              </w:rPr>
              <w:lastRenderedPageBreak/>
              <w:t>жилыми домами</w:t>
            </w:r>
          </w:p>
        </w:tc>
        <w:tc>
          <w:tcPr>
            <w:tcW w:w="2073" w:type="dxa"/>
          </w:tcPr>
          <w:p w:rsidR="00FA1F4E" w:rsidRDefault="003B2CFF">
            <w:pPr>
              <w:ind w:firstLine="0"/>
              <w:rPr>
                <w:rFonts w:cs="Times New Roman"/>
                <w:sz w:val="22"/>
              </w:rPr>
            </w:pPr>
            <w:r>
              <w:rPr>
                <w:rFonts w:cs="Times New Roman"/>
                <w:bCs/>
                <w:iCs/>
                <w:sz w:val="22"/>
              </w:rPr>
              <w:lastRenderedPageBreak/>
              <w:t xml:space="preserve">Зона застройки индивидуальными </w:t>
            </w:r>
            <w:r>
              <w:rPr>
                <w:rFonts w:cs="Times New Roman"/>
                <w:bCs/>
                <w:iCs/>
                <w:sz w:val="22"/>
              </w:rPr>
              <w:lastRenderedPageBreak/>
              <w:t>жилыми домами</w:t>
            </w:r>
          </w:p>
        </w:tc>
      </w:tr>
      <w:tr w:rsidR="00FA1F4E">
        <w:tc>
          <w:tcPr>
            <w:tcW w:w="503" w:type="dxa"/>
          </w:tcPr>
          <w:p w:rsidR="00FA1F4E" w:rsidRDefault="003B2CFF">
            <w:pPr>
              <w:ind w:firstLine="0"/>
              <w:rPr>
                <w:rFonts w:cs="Times New Roman"/>
                <w:sz w:val="22"/>
              </w:rPr>
            </w:pPr>
            <w:r>
              <w:rPr>
                <w:rFonts w:cs="Times New Roman"/>
                <w:sz w:val="22"/>
              </w:rPr>
              <w:lastRenderedPageBreak/>
              <w:t>14</w:t>
            </w:r>
          </w:p>
        </w:tc>
        <w:tc>
          <w:tcPr>
            <w:tcW w:w="2264" w:type="dxa"/>
          </w:tcPr>
          <w:p w:rsidR="00FA1F4E" w:rsidRDefault="003B2CFF">
            <w:pPr>
              <w:ind w:firstLine="0"/>
              <w:rPr>
                <w:rFonts w:cs="Times New Roman"/>
                <w:sz w:val="22"/>
              </w:rPr>
            </w:pPr>
            <w:r>
              <w:rPr>
                <w:rFonts w:cs="Times New Roman"/>
                <w:sz w:val="22"/>
              </w:rPr>
              <w:t>47:06:0103004:316</w:t>
            </w:r>
          </w:p>
        </w:tc>
        <w:tc>
          <w:tcPr>
            <w:tcW w:w="1816" w:type="dxa"/>
          </w:tcPr>
          <w:p w:rsidR="00FA1F4E" w:rsidRDefault="003B2CFF">
            <w:pPr>
              <w:ind w:firstLine="0"/>
              <w:rPr>
                <w:rFonts w:cs="Times New Roman"/>
                <w:sz w:val="22"/>
              </w:rPr>
            </w:pPr>
            <w:r>
              <w:rPr>
                <w:rFonts w:cs="Times New Roman"/>
                <w:sz w:val="22"/>
              </w:rPr>
              <w:t>ул. Железнодорожная</w:t>
            </w:r>
          </w:p>
        </w:tc>
        <w:tc>
          <w:tcPr>
            <w:tcW w:w="1860" w:type="dxa"/>
          </w:tcPr>
          <w:p w:rsidR="00FA1F4E" w:rsidRDefault="003B2CFF">
            <w:pPr>
              <w:ind w:firstLine="0"/>
              <w:rPr>
                <w:rFonts w:cs="Times New Roman"/>
                <w:sz w:val="22"/>
              </w:rPr>
            </w:pPr>
            <w:r>
              <w:rPr>
                <w:rFonts w:cs="Times New Roman"/>
                <w:sz w:val="22"/>
              </w:rPr>
              <w:t>объекты придорожного сервиса</w:t>
            </w:r>
          </w:p>
        </w:tc>
        <w:tc>
          <w:tcPr>
            <w:tcW w:w="1905" w:type="dxa"/>
          </w:tcPr>
          <w:p w:rsidR="00FA1F4E" w:rsidRDefault="003B2CFF">
            <w:pPr>
              <w:ind w:firstLine="0"/>
              <w:rPr>
                <w:rFonts w:cs="Times New Roman"/>
                <w:sz w:val="22"/>
              </w:rPr>
            </w:pPr>
            <w:r>
              <w:rPr>
                <w:rFonts w:cs="Times New Roman"/>
                <w:bCs/>
                <w:iCs/>
                <w:sz w:val="22"/>
              </w:rPr>
              <w:t>Производственная зона</w:t>
            </w:r>
          </w:p>
        </w:tc>
        <w:tc>
          <w:tcPr>
            <w:tcW w:w="2073" w:type="dxa"/>
          </w:tcPr>
          <w:p w:rsidR="00FA1F4E" w:rsidRDefault="003B2CFF">
            <w:pPr>
              <w:ind w:firstLine="0"/>
              <w:rPr>
                <w:rFonts w:cs="Times New Roman"/>
                <w:sz w:val="22"/>
              </w:rPr>
            </w:pPr>
            <w:r>
              <w:rPr>
                <w:rFonts w:cs="Times New Roman"/>
                <w:bCs/>
                <w:iCs/>
                <w:sz w:val="22"/>
              </w:rPr>
              <w:t>Зона транспортной инфраструктуры</w:t>
            </w:r>
          </w:p>
        </w:tc>
      </w:tr>
      <w:tr w:rsidR="00FA1F4E">
        <w:tc>
          <w:tcPr>
            <w:tcW w:w="503" w:type="dxa"/>
          </w:tcPr>
          <w:p w:rsidR="00FA1F4E" w:rsidRDefault="003B2CFF">
            <w:pPr>
              <w:ind w:firstLine="0"/>
              <w:rPr>
                <w:rFonts w:cs="Times New Roman"/>
                <w:sz w:val="22"/>
              </w:rPr>
            </w:pPr>
            <w:r>
              <w:rPr>
                <w:rFonts w:cs="Times New Roman"/>
                <w:sz w:val="22"/>
              </w:rPr>
              <w:t>15</w:t>
            </w:r>
          </w:p>
        </w:tc>
        <w:tc>
          <w:tcPr>
            <w:tcW w:w="2264" w:type="dxa"/>
          </w:tcPr>
          <w:p w:rsidR="00FA1F4E" w:rsidRDefault="003B2CFF">
            <w:pPr>
              <w:ind w:firstLine="0"/>
              <w:rPr>
                <w:rFonts w:cs="Times New Roman"/>
                <w:sz w:val="22"/>
              </w:rPr>
            </w:pPr>
            <w:r>
              <w:rPr>
                <w:rFonts w:cs="Times New Roman"/>
                <w:sz w:val="22"/>
              </w:rPr>
              <w:t>Уточнение функционального зонирования в зонах нового жилищного строительства</w:t>
            </w:r>
          </w:p>
        </w:tc>
        <w:tc>
          <w:tcPr>
            <w:tcW w:w="1816" w:type="dxa"/>
          </w:tcPr>
          <w:p w:rsidR="00FA1F4E" w:rsidRDefault="00FA1F4E">
            <w:pPr>
              <w:ind w:firstLine="0"/>
              <w:rPr>
                <w:rFonts w:cs="Times New Roman"/>
                <w:sz w:val="22"/>
              </w:rPr>
            </w:pPr>
          </w:p>
        </w:tc>
        <w:tc>
          <w:tcPr>
            <w:tcW w:w="1860" w:type="dxa"/>
          </w:tcPr>
          <w:p w:rsidR="00FA1F4E" w:rsidRDefault="00FA1F4E">
            <w:pPr>
              <w:ind w:firstLine="0"/>
              <w:rPr>
                <w:rFonts w:cs="Times New Roman"/>
                <w:sz w:val="22"/>
              </w:rPr>
            </w:pPr>
          </w:p>
        </w:tc>
        <w:tc>
          <w:tcPr>
            <w:tcW w:w="1905" w:type="dxa"/>
          </w:tcPr>
          <w:p w:rsidR="00FA1F4E" w:rsidRDefault="003B2CFF">
            <w:pPr>
              <w:ind w:firstLine="0"/>
              <w:rPr>
                <w:rFonts w:cs="Times New Roman"/>
                <w:sz w:val="22"/>
              </w:rPr>
            </w:pPr>
            <w:r>
              <w:rPr>
                <w:rFonts w:cs="Times New Roman"/>
                <w:bCs/>
                <w:iCs/>
                <w:sz w:val="22"/>
              </w:rPr>
              <w:t>Зона транспортной инфраструктуры</w:t>
            </w:r>
          </w:p>
        </w:tc>
        <w:tc>
          <w:tcPr>
            <w:tcW w:w="2073" w:type="dxa"/>
          </w:tcPr>
          <w:p w:rsidR="00FA1F4E" w:rsidRDefault="003B2CFF">
            <w:pPr>
              <w:ind w:firstLine="0"/>
              <w:rPr>
                <w:rFonts w:cs="Times New Roman"/>
                <w:bCs/>
                <w:iCs/>
                <w:sz w:val="22"/>
              </w:rPr>
            </w:pPr>
            <w:r>
              <w:rPr>
                <w:rFonts w:cs="Times New Roman"/>
                <w:bCs/>
                <w:iCs/>
                <w:sz w:val="22"/>
              </w:rPr>
              <w:t>Зона застройки индивидуальными жилыми домами</w:t>
            </w:r>
          </w:p>
        </w:tc>
      </w:tr>
      <w:tr w:rsidR="00FA1F4E">
        <w:tc>
          <w:tcPr>
            <w:tcW w:w="503" w:type="dxa"/>
          </w:tcPr>
          <w:p w:rsidR="00FA1F4E" w:rsidRDefault="003B2CFF">
            <w:pPr>
              <w:ind w:firstLine="0"/>
              <w:rPr>
                <w:rFonts w:cs="Times New Roman"/>
                <w:sz w:val="22"/>
              </w:rPr>
            </w:pPr>
            <w:r>
              <w:rPr>
                <w:rFonts w:cs="Times New Roman"/>
                <w:sz w:val="22"/>
              </w:rPr>
              <w:t>16</w:t>
            </w:r>
          </w:p>
        </w:tc>
        <w:tc>
          <w:tcPr>
            <w:tcW w:w="2264" w:type="dxa"/>
          </w:tcPr>
          <w:p w:rsidR="00FA1F4E" w:rsidRDefault="003B2CFF">
            <w:pPr>
              <w:ind w:firstLine="0"/>
              <w:rPr>
                <w:rFonts w:cs="Times New Roman"/>
                <w:sz w:val="22"/>
              </w:rPr>
            </w:pPr>
            <w:r>
              <w:rPr>
                <w:rFonts w:cs="Times New Roman"/>
                <w:sz w:val="22"/>
              </w:rPr>
              <w:t>Территория городского парка (с учетом его расширения, включая земельные участки с кадастровыми номерами 47:06:0102003:3274, 47:06:0102003:3286)</w:t>
            </w:r>
          </w:p>
        </w:tc>
        <w:tc>
          <w:tcPr>
            <w:tcW w:w="1816" w:type="dxa"/>
          </w:tcPr>
          <w:p w:rsidR="00FA1F4E" w:rsidRDefault="003B2CFF">
            <w:pPr>
              <w:ind w:firstLine="0"/>
              <w:rPr>
                <w:rFonts w:cs="Times New Roman"/>
                <w:sz w:val="22"/>
              </w:rPr>
            </w:pPr>
            <w:r>
              <w:rPr>
                <w:rFonts w:cs="Times New Roman"/>
                <w:sz w:val="22"/>
              </w:rPr>
              <w:t>ул. Коммунаров</w:t>
            </w:r>
          </w:p>
        </w:tc>
        <w:tc>
          <w:tcPr>
            <w:tcW w:w="1860" w:type="dxa"/>
          </w:tcPr>
          <w:p w:rsidR="00FA1F4E" w:rsidRDefault="003B2CFF">
            <w:pPr>
              <w:ind w:firstLine="0"/>
              <w:rPr>
                <w:rFonts w:cs="Times New Roman"/>
                <w:sz w:val="22"/>
              </w:rPr>
            </w:pPr>
            <w:r>
              <w:rPr>
                <w:rFonts w:cs="Times New Roman"/>
                <w:sz w:val="22"/>
              </w:rPr>
              <w:t>Размещение сквера - 12.0</w:t>
            </w:r>
          </w:p>
        </w:tc>
        <w:tc>
          <w:tcPr>
            <w:tcW w:w="1905" w:type="dxa"/>
          </w:tcPr>
          <w:p w:rsidR="00FA1F4E" w:rsidRDefault="003B2CFF">
            <w:pPr>
              <w:ind w:firstLine="0"/>
              <w:rPr>
                <w:rFonts w:cs="Times New Roman"/>
                <w:bCs/>
                <w:iCs/>
                <w:sz w:val="22"/>
              </w:rPr>
            </w:pPr>
            <w:r>
              <w:rPr>
                <w:rFonts w:cs="Times New Roman"/>
                <w:sz w:val="22"/>
              </w:rPr>
              <w:t>Расположена в двух функциональных зонах: Зона озелененных территорий специального назначения и Общественно-деловая зона</w:t>
            </w:r>
          </w:p>
        </w:tc>
        <w:tc>
          <w:tcPr>
            <w:tcW w:w="2073" w:type="dxa"/>
          </w:tcPr>
          <w:p w:rsidR="00FA1F4E" w:rsidRDefault="003B2CFF">
            <w:pPr>
              <w:ind w:firstLine="0"/>
              <w:rPr>
                <w:rFonts w:cs="Times New Roman"/>
                <w:bCs/>
                <w:iCs/>
                <w:sz w:val="22"/>
              </w:rPr>
            </w:pPr>
            <w:r>
              <w:rPr>
                <w:rFonts w:cs="Times New Roman"/>
                <w:sz w:val="22"/>
              </w:rPr>
              <w:t>Зона озелененных территорий общего пользования (лесопарки, парки, сады, скверы, бульвары)</w:t>
            </w:r>
          </w:p>
        </w:tc>
      </w:tr>
      <w:tr w:rsidR="00FA1F4E">
        <w:tc>
          <w:tcPr>
            <w:tcW w:w="503" w:type="dxa"/>
          </w:tcPr>
          <w:p w:rsidR="00FA1F4E" w:rsidRDefault="003B2CFF">
            <w:pPr>
              <w:ind w:firstLine="0"/>
              <w:rPr>
                <w:rFonts w:cs="Times New Roman"/>
                <w:sz w:val="22"/>
              </w:rPr>
            </w:pPr>
            <w:r>
              <w:rPr>
                <w:rFonts w:cs="Times New Roman"/>
                <w:sz w:val="22"/>
              </w:rPr>
              <w:t>17</w:t>
            </w:r>
          </w:p>
        </w:tc>
        <w:tc>
          <w:tcPr>
            <w:tcW w:w="2264" w:type="dxa"/>
          </w:tcPr>
          <w:p w:rsidR="00FA1F4E" w:rsidRDefault="003B2CFF">
            <w:pPr>
              <w:ind w:firstLine="0"/>
              <w:rPr>
                <w:rFonts w:cs="Times New Roman"/>
                <w:sz w:val="22"/>
              </w:rPr>
            </w:pPr>
            <w:r>
              <w:rPr>
                <w:rFonts w:cs="Times New Roman"/>
                <w:sz w:val="22"/>
              </w:rPr>
              <w:t>Вблизи с земельным участком с кадастровым номером 47:06:0101002:367</w:t>
            </w:r>
          </w:p>
        </w:tc>
        <w:tc>
          <w:tcPr>
            <w:tcW w:w="1816" w:type="dxa"/>
          </w:tcPr>
          <w:p w:rsidR="00FA1F4E" w:rsidRDefault="00FA1F4E">
            <w:pPr>
              <w:ind w:firstLine="0"/>
              <w:rPr>
                <w:rFonts w:cs="Times New Roman"/>
                <w:sz w:val="22"/>
              </w:rPr>
            </w:pPr>
          </w:p>
        </w:tc>
        <w:tc>
          <w:tcPr>
            <w:tcW w:w="1860" w:type="dxa"/>
          </w:tcPr>
          <w:p w:rsidR="00FA1F4E" w:rsidRDefault="003B2CFF">
            <w:pPr>
              <w:ind w:firstLine="0"/>
              <w:rPr>
                <w:rFonts w:cs="Times New Roman"/>
                <w:sz w:val="22"/>
              </w:rPr>
            </w:pPr>
            <w:r>
              <w:rPr>
                <w:rFonts w:cs="Times New Roman"/>
                <w:sz w:val="22"/>
              </w:rPr>
              <w:t>–</w:t>
            </w:r>
          </w:p>
        </w:tc>
        <w:tc>
          <w:tcPr>
            <w:tcW w:w="1905" w:type="dxa"/>
          </w:tcPr>
          <w:p w:rsidR="00FA1F4E" w:rsidRDefault="003B2CFF">
            <w:pPr>
              <w:ind w:firstLine="0"/>
              <w:rPr>
                <w:rFonts w:cs="Times New Roman"/>
                <w:bCs/>
                <w:iCs/>
                <w:sz w:val="22"/>
              </w:rPr>
            </w:pPr>
            <w:r>
              <w:rPr>
                <w:rFonts w:cs="Times New Roman"/>
                <w:bCs/>
                <w:iCs/>
                <w:sz w:val="22"/>
              </w:rPr>
              <w:t xml:space="preserve">Зона озелененных территорий общего пользования </w:t>
            </w:r>
            <w:r>
              <w:rPr>
                <w:rFonts w:cs="Times New Roman"/>
                <w:sz w:val="22"/>
              </w:rPr>
              <w:t>(лесопарки, парки, сады, скверы, бульвары)</w:t>
            </w:r>
          </w:p>
        </w:tc>
        <w:tc>
          <w:tcPr>
            <w:tcW w:w="2073" w:type="dxa"/>
          </w:tcPr>
          <w:p w:rsidR="00FA1F4E" w:rsidRDefault="003B2CFF">
            <w:pPr>
              <w:ind w:firstLine="0"/>
              <w:rPr>
                <w:rFonts w:cs="Times New Roman"/>
                <w:sz w:val="22"/>
              </w:rPr>
            </w:pPr>
            <w:r>
              <w:rPr>
                <w:rFonts w:cs="Times New Roman"/>
                <w:bCs/>
                <w:iCs/>
                <w:sz w:val="22"/>
              </w:rPr>
              <w:t>Зона застройки малоэтажными жилыми домами</w:t>
            </w:r>
          </w:p>
        </w:tc>
      </w:tr>
      <w:tr w:rsidR="00FA1F4E">
        <w:tc>
          <w:tcPr>
            <w:tcW w:w="503" w:type="dxa"/>
          </w:tcPr>
          <w:p w:rsidR="00FA1F4E" w:rsidRDefault="003B2CFF">
            <w:pPr>
              <w:ind w:firstLine="0"/>
              <w:rPr>
                <w:rFonts w:cs="Times New Roman"/>
                <w:sz w:val="22"/>
              </w:rPr>
            </w:pPr>
            <w:r>
              <w:rPr>
                <w:rFonts w:cs="Times New Roman"/>
                <w:sz w:val="22"/>
              </w:rPr>
              <w:t>18</w:t>
            </w:r>
          </w:p>
        </w:tc>
        <w:tc>
          <w:tcPr>
            <w:tcW w:w="2264" w:type="dxa"/>
          </w:tcPr>
          <w:p w:rsidR="00FA1F4E" w:rsidRDefault="003B2CFF">
            <w:pPr>
              <w:ind w:firstLine="0"/>
              <w:rPr>
                <w:rFonts w:cs="Times New Roman"/>
                <w:sz w:val="22"/>
              </w:rPr>
            </w:pPr>
            <w:r>
              <w:rPr>
                <w:rFonts w:cs="Times New Roman"/>
                <w:sz w:val="22"/>
              </w:rPr>
              <w:t>Территория рядом с земельными участками с кадастровыми номерами 47:06:0103003:565 и 47:06:0103003:50 по ул. Песочная</w:t>
            </w:r>
          </w:p>
        </w:tc>
        <w:tc>
          <w:tcPr>
            <w:tcW w:w="1816" w:type="dxa"/>
          </w:tcPr>
          <w:p w:rsidR="00FA1F4E" w:rsidRDefault="00FA1F4E">
            <w:pPr>
              <w:ind w:firstLine="0"/>
              <w:rPr>
                <w:rFonts w:cs="Times New Roman"/>
                <w:sz w:val="22"/>
              </w:rPr>
            </w:pPr>
          </w:p>
        </w:tc>
        <w:tc>
          <w:tcPr>
            <w:tcW w:w="1860" w:type="dxa"/>
          </w:tcPr>
          <w:p w:rsidR="00FA1F4E" w:rsidRDefault="003B2CFF">
            <w:pPr>
              <w:ind w:firstLine="0"/>
              <w:rPr>
                <w:rFonts w:cs="Times New Roman"/>
                <w:sz w:val="22"/>
              </w:rPr>
            </w:pPr>
            <w:r>
              <w:rPr>
                <w:rFonts w:cs="Times New Roman"/>
                <w:sz w:val="22"/>
              </w:rPr>
              <w:t>–</w:t>
            </w:r>
          </w:p>
        </w:tc>
        <w:tc>
          <w:tcPr>
            <w:tcW w:w="1905" w:type="dxa"/>
          </w:tcPr>
          <w:p w:rsidR="00FA1F4E" w:rsidRDefault="003B2CFF">
            <w:pPr>
              <w:ind w:firstLine="0"/>
              <w:rPr>
                <w:rFonts w:cs="Times New Roman"/>
                <w:bCs/>
                <w:iCs/>
                <w:sz w:val="22"/>
              </w:rPr>
            </w:pPr>
            <w:r>
              <w:rPr>
                <w:rFonts w:cs="Times New Roman"/>
                <w:bCs/>
                <w:iCs/>
                <w:sz w:val="22"/>
              </w:rPr>
              <w:t>Зона застройки индивидуальными жилыми домами</w:t>
            </w:r>
          </w:p>
        </w:tc>
        <w:tc>
          <w:tcPr>
            <w:tcW w:w="2073" w:type="dxa"/>
          </w:tcPr>
          <w:p w:rsidR="00FA1F4E" w:rsidRDefault="003B2CFF">
            <w:pPr>
              <w:ind w:firstLine="0"/>
              <w:rPr>
                <w:rFonts w:cs="Times New Roman"/>
                <w:sz w:val="22"/>
              </w:rPr>
            </w:pPr>
            <w:r>
              <w:rPr>
                <w:rFonts w:cs="Times New Roman"/>
                <w:bCs/>
                <w:iCs/>
                <w:sz w:val="22"/>
              </w:rPr>
              <w:t>Зона застройки малоэтажными жилыми домами</w:t>
            </w:r>
          </w:p>
        </w:tc>
      </w:tr>
      <w:tr w:rsidR="00FA1F4E">
        <w:tc>
          <w:tcPr>
            <w:tcW w:w="503" w:type="dxa"/>
          </w:tcPr>
          <w:p w:rsidR="00FA1F4E" w:rsidRDefault="003B2CFF">
            <w:pPr>
              <w:ind w:firstLine="0"/>
              <w:rPr>
                <w:rFonts w:cs="Times New Roman"/>
                <w:sz w:val="22"/>
              </w:rPr>
            </w:pPr>
            <w:r>
              <w:rPr>
                <w:rFonts w:cs="Times New Roman"/>
                <w:sz w:val="22"/>
              </w:rPr>
              <w:t>19</w:t>
            </w:r>
          </w:p>
        </w:tc>
        <w:tc>
          <w:tcPr>
            <w:tcW w:w="2264" w:type="dxa"/>
          </w:tcPr>
          <w:p w:rsidR="00FA1F4E" w:rsidRDefault="003B2CFF">
            <w:pPr>
              <w:ind w:firstLine="0"/>
              <w:rPr>
                <w:rFonts w:cs="Times New Roman"/>
                <w:sz w:val="22"/>
              </w:rPr>
            </w:pPr>
            <w:r>
              <w:rPr>
                <w:rFonts w:cs="Times New Roman"/>
                <w:sz w:val="22"/>
              </w:rPr>
              <w:t>Земельные участки с кадастровыми номерами 47:06:0407001:647 и 47:06:0407001:670</w:t>
            </w:r>
          </w:p>
        </w:tc>
        <w:tc>
          <w:tcPr>
            <w:tcW w:w="1816" w:type="dxa"/>
          </w:tcPr>
          <w:p w:rsidR="00FA1F4E" w:rsidRDefault="003B2CFF">
            <w:pPr>
              <w:ind w:firstLine="0"/>
              <w:rPr>
                <w:rFonts w:cs="Times New Roman"/>
                <w:sz w:val="22"/>
              </w:rPr>
            </w:pPr>
            <w:r>
              <w:rPr>
                <w:rFonts w:cs="Times New Roman"/>
                <w:sz w:val="22"/>
              </w:rPr>
              <w:t>г. Лодейное Поле, войсковая часть 23438, военный городок № 3, д. 25;</w:t>
            </w:r>
          </w:p>
          <w:p w:rsidR="00FA1F4E" w:rsidRDefault="003B2CFF">
            <w:pPr>
              <w:ind w:firstLine="0"/>
              <w:rPr>
                <w:rFonts w:cs="Times New Roman"/>
                <w:sz w:val="22"/>
              </w:rPr>
            </w:pPr>
            <w:r>
              <w:rPr>
                <w:rFonts w:cs="Times New Roman"/>
                <w:sz w:val="22"/>
              </w:rPr>
              <w:t>ул. Талалихина, д. 30</w:t>
            </w:r>
          </w:p>
        </w:tc>
        <w:tc>
          <w:tcPr>
            <w:tcW w:w="1860" w:type="dxa"/>
          </w:tcPr>
          <w:p w:rsidR="00FA1F4E" w:rsidRDefault="003B2CFF">
            <w:pPr>
              <w:ind w:firstLine="0"/>
              <w:rPr>
                <w:rFonts w:cs="Times New Roman"/>
                <w:sz w:val="22"/>
              </w:rPr>
            </w:pPr>
            <w:r>
              <w:rPr>
                <w:rFonts w:cs="Times New Roman"/>
                <w:sz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Pr>
                <w:rFonts w:cs="Times New Roman"/>
                <w:sz w:val="22"/>
              </w:rPr>
              <w:lastRenderedPageBreak/>
              <w:t>специального назначения;</w:t>
            </w:r>
          </w:p>
          <w:p w:rsidR="00FA1F4E" w:rsidRDefault="003B2CFF">
            <w:pPr>
              <w:ind w:firstLine="0"/>
              <w:rPr>
                <w:rFonts w:cs="Times New Roman"/>
                <w:sz w:val="22"/>
              </w:rPr>
            </w:pPr>
            <w:r>
              <w:rPr>
                <w:rFonts w:cs="Times New Roman"/>
                <w:sz w:val="22"/>
              </w:rPr>
              <w:t>для специального назначения</w:t>
            </w:r>
          </w:p>
        </w:tc>
        <w:tc>
          <w:tcPr>
            <w:tcW w:w="1905" w:type="dxa"/>
          </w:tcPr>
          <w:p w:rsidR="00FA1F4E" w:rsidRDefault="003B2CFF">
            <w:pPr>
              <w:ind w:firstLine="0"/>
              <w:rPr>
                <w:rFonts w:cs="Times New Roman"/>
                <w:bCs/>
                <w:iCs/>
                <w:sz w:val="22"/>
              </w:rPr>
            </w:pPr>
            <w:r>
              <w:rPr>
                <w:rFonts w:cs="Times New Roman"/>
                <w:bCs/>
                <w:iCs/>
                <w:sz w:val="22"/>
              </w:rPr>
              <w:lastRenderedPageBreak/>
              <w:t>Зона застройки среднеэтажными жилыми домами</w:t>
            </w:r>
          </w:p>
        </w:tc>
        <w:tc>
          <w:tcPr>
            <w:tcW w:w="2073" w:type="dxa"/>
          </w:tcPr>
          <w:p w:rsidR="00FA1F4E" w:rsidRDefault="003B2CFF">
            <w:pPr>
              <w:ind w:firstLine="0"/>
              <w:rPr>
                <w:rFonts w:cs="Times New Roman"/>
                <w:bCs/>
                <w:iCs/>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lastRenderedPageBreak/>
              <w:t>20</w:t>
            </w:r>
          </w:p>
        </w:tc>
        <w:tc>
          <w:tcPr>
            <w:tcW w:w="2264" w:type="dxa"/>
          </w:tcPr>
          <w:p w:rsidR="00FA1F4E" w:rsidRDefault="003B2CFF">
            <w:pPr>
              <w:ind w:firstLine="0"/>
              <w:rPr>
                <w:rFonts w:cs="Times New Roman"/>
                <w:sz w:val="22"/>
              </w:rPr>
            </w:pPr>
            <w:r>
              <w:rPr>
                <w:rFonts w:cs="Times New Roman"/>
                <w:sz w:val="22"/>
              </w:rPr>
              <w:t>47:06:0102006:398</w:t>
            </w:r>
          </w:p>
        </w:tc>
        <w:tc>
          <w:tcPr>
            <w:tcW w:w="1816" w:type="dxa"/>
          </w:tcPr>
          <w:p w:rsidR="00FA1F4E" w:rsidRDefault="003B2CFF">
            <w:pPr>
              <w:ind w:firstLine="0"/>
              <w:rPr>
                <w:rFonts w:cs="Times New Roman"/>
                <w:sz w:val="22"/>
              </w:rPr>
            </w:pPr>
            <w:r>
              <w:rPr>
                <w:rFonts w:cs="Times New Roman"/>
                <w:sz w:val="22"/>
              </w:rPr>
              <w:t>Республиканский тракт, д. 37, литер Д</w:t>
            </w:r>
          </w:p>
        </w:tc>
        <w:tc>
          <w:tcPr>
            <w:tcW w:w="1860" w:type="dxa"/>
          </w:tcPr>
          <w:p w:rsidR="00FA1F4E" w:rsidRDefault="003B2CFF">
            <w:pPr>
              <w:ind w:firstLine="0"/>
              <w:rPr>
                <w:rFonts w:cs="Times New Roman"/>
                <w:sz w:val="22"/>
              </w:rPr>
            </w:pPr>
            <w:r>
              <w:rPr>
                <w:rFonts w:cs="Times New Roman"/>
                <w:sz w:val="22"/>
              </w:rPr>
              <w:t>для торговой деятельности</w:t>
            </w:r>
          </w:p>
        </w:tc>
        <w:tc>
          <w:tcPr>
            <w:tcW w:w="1905" w:type="dxa"/>
          </w:tcPr>
          <w:p w:rsidR="00FA1F4E" w:rsidRDefault="003B2CFF">
            <w:pPr>
              <w:ind w:firstLine="0"/>
              <w:rPr>
                <w:rFonts w:cs="Times New Roman"/>
                <w:sz w:val="22"/>
              </w:rPr>
            </w:pPr>
            <w:r>
              <w:rPr>
                <w:rFonts w:cs="Times New Roman"/>
                <w:bCs/>
                <w:iCs/>
                <w:sz w:val="22"/>
              </w:rPr>
              <w:t>Производственная зона</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r w:rsidR="00FA1F4E">
        <w:tc>
          <w:tcPr>
            <w:tcW w:w="503" w:type="dxa"/>
          </w:tcPr>
          <w:p w:rsidR="00FA1F4E" w:rsidRDefault="003B2CFF">
            <w:pPr>
              <w:ind w:firstLine="0"/>
              <w:rPr>
                <w:rFonts w:cs="Times New Roman"/>
                <w:sz w:val="22"/>
              </w:rPr>
            </w:pPr>
            <w:r>
              <w:rPr>
                <w:rFonts w:cs="Times New Roman"/>
                <w:sz w:val="22"/>
              </w:rPr>
              <w:t>21</w:t>
            </w:r>
          </w:p>
        </w:tc>
        <w:tc>
          <w:tcPr>
            <w:tcW w:w="2264" w:type="dxa"/>
          </w:tcPr>
          <w:p w:rsidR="00FA1F4E" w:rsidRDefault="003B2CFF">
            <w:pPr>
              <w:ind w:firstLine="0"/>
              <w:rPr>
                <w:rFonts w:cs="Times New Roman"/>
                <w:sz w:val="22"/>
              </w:rPr>
            </w:pPr>
            <w:r>
              <w:rPr>
                <w:rFonts w:cs="Times New Roman"/>
                <w:sz w:val="22"/>
              </w:rPr>
              <w:t>47:06:0102003:182</w:t>
            </w:r>
          </w:p>
        </w:tc>
        <w:tc>
          <w:tcPr>
            <w:tcW w:w="1816" w:type="dxa"/>
          </w:tcPr>
          <w:p w:rsidR="00FA1F4E" w:rsidRDefault="003B2CFF">
            <w:pPr>
              <w:ind w:firstLine="0"/>
              <w:rPr>
                <w:rFonts w:cs="Times New Roman"/>
                <w:sz w:val="22"/>
              </w:rPr>
            </w:pPr>
            <w:r>
              <w:rPr>
                <w:rFonts w:cs="Times New Roman"/>
                <w:sz w:val="22"/>
              </w:rPr>
              <w:t>Набережная Красного Флота, д. 1а</w:t>
            </w:r>
          </w:p>
        </w:tc>
        <w:tc>
          <w:tcPr>
            <w:tcW w:w="1860" w:type="dxa"/>
          </w:tcPr>
          <w:p w:rsidR="00FA1F4E" w:rsidRDefault="003B2CFF">
            <w:pPr>
              <w:ind w:firstLine="0"/>
              <w:rPr>
                <w:rFonts w:cs="Times New Roman"/>
                <w:sz w:val="22"/>
              </w:rPr>
            </w:pPr>
            <w:r>
              <w:rPr>
                <w:rFonts w:cs="Times New Roman"/>
                <w:sz w:val="22"/>
              </w:rPr>
              <w:t>для индивидуального жилищного строительства</w:t>
            </w:r>
          </w:p>
        </w:tc>
        <w:tc>
          <w:tcPr>
            <w:tcW w:w="1905" w:type="dxa"/>
          </w:tcPr>
          <w:p w:rsidR="00FA1F4E" w:rsidRDefault="003B2CFF">
            <w:pPr>
              <w:ind w:firstLine="0"/>
              <w:rPr>
                <w:rFonts w:cs="Times New Roman"/>
                <w:bCs/>
                <w:iCs/>
                <w:sz w:val="22"/>
              </w:rPr>
            </w:pPr>
            <w:r>
              <w:rPr>
                <w:rFonts w:cs="Times New Roman"/>
                <w:bCs/>
                <w:iCs/>
                <w:sz w:val="22"/>
              </w:rPr>
              <w:t>Зона застройки индивидуальными жилыми домами</w:t>
            </w:r>
          </w:p>
        </w:tc>
        <w:tc>
          <w:tcPr>
            <w:tcW w:w="2073" w:type="dxa"/>
          </w:tcPr>
          <w:p w:rsidR="00FA1F4E" w:rsidRDefault="003B2CFF">
            <w:pPr>
              <w:ind w:firstLine="0"/>
              <w:rPr>
                <w:rFonts w:cs="Times New Roman"/>
                <w:sz w:val="22"/>
              </w:rPr>
            </w:pPr>
            <w:r>
              <w:rPr>
                <w:rFonts w:cs="Times New Roman"/>
                <w:bCs/>
                <w:iCs/>
                <w:sz w:val="22"/>
              </w:rPr>
              <w:t>Общественно-деловая зона</w:t>
            </w:r>
          </w:p>
        </w:tc>
      </w:tr>
    </w:tbl>
    <w:p w:rsidR="00FA1F4E" w:rsidRDefault="00FA1F4E">
      <w:pPr>
        <w:ind w:firstLine="0"/>
      </w:pPr>
    </w:p>
    <w:p w:rsidR="00FA1F4E" w:rsidRDefault="003B2CFF">
      <w:pPr>
        <w:rPr>
          <w:rFonts w:cs="Times New Roman"/>
          <w:szCs w:val="24"/>
          <w:lang w:eastAsia="ru-RU"/>
        </w:rPr>
      </w:pPr>
      <w:r>
        <w:t>Д</w:t>
      </w:r>
      <w:r>
        <w:rPr>
          <w:szCs w:val="24"/>
        </w:rPr>
        <w:t xml:space="preserve">ополнительно в связи с тем, что изменения в границу запретной зоны военного объекта </w:t>
      </w:r>
      <w:r>
        <w:rPr>
          <w:rFonts w:cs="Times New Roman"/>
          <w:szCs w:val="24"/>
          <w:lang w:eastAsia="ru-RU"/>
        </w:rPr>
        <w:t xml:space="preserve">- Хвойное лесничество Министерства обороны Российской Федерации (запретный район при военном складе), сведения о которой внесены в Единый государственный реестр недвижимости (реестровый номер </w:t>
      </w:r>
      <w:r>
        <w:rPr>
          <w:rFonts w:cs="Times New Roman"/>
          <w:szCs w:val="24"/>
          <w:shd w:val="clear" w:color="auto" w:fill="FFFFFF"/>
        </w:rPr>
        <w:t>47.06.2.70</w:t>
      </w:r>
      <w:r>
        <w:rPr>
          <w:rFonts w:cs="Times New Roman"/>
          <w:szCs w:val="24"/>
          <w:lang w:eastAsia="ru-RU"/>
        </w:rPr>
        <w:t xml:space="preserve">) </w:t>
      </w:r>
      <w:r>
        <w:rPr>
          <w:szCs w:val="24"/>
        </w:rPr>
        <w:t xml:space="preserve">с учетом решений Арбитражного суда Санкт-Петербурга и Ленинградской области от 30.08.2018 по делу № А56-15966/2017 и </w:t>
      </w:r>
      <w:r>
        <w:rPr>
          <w:rFonts w:cs="Times New Roman"/>
          <w:szCs w:val="24"/>
          <w:lang w:eastAsia="ru-RU"/>
        </w:rPr>
        <w:t xml:space="preserve">от 25.12.2019 по делу № А56-94011/2019 </w:t>
      </w:r>
      <w:r>
        <w:rPr>
          <w:szCs w:val="24"/>
        </w:rPr>
        <w:t xml:space="preserve">не внесены в ЕГРН, в границах функциональных зон, установленных действующим генеральным планом в </w:t>
      </w:r>
      <w:r>
        <w:rPr>
          <w:rFonts w:cs="Times New Roman"/>
          <w:szCs w:val="24"/>
          <w:lang w:eastAsia="ru-RU"/>
        </w:rPr>
        <w:t>запретной зоне военного объекта</w:t>
      </w:r>
      <w:r>
        <w:rPr>
          <w:szCs w:val="24"/>
        </w:rPr>
        <w:t>, устанавливаются подзоны, для которых до внесения изменений в границу запретной зоны военного объекта действуют ограничения на осуществление хозяйственной и иной деятельности</w:t>
      </w:r>
      <w:r>
        <w:rPr>
          <w:rFonts w:cs="Times New Roman"/>
          <w:szCs w:val="24"/>
          <w:lang w:eastAsia="ru-RU"/>
        </w:rPr>
        <w:t>.</w:t>
      </w:r>
      <w:r>
        <w:rPr>
          <w:szCs w:val="24"/>
        </w:rPr>
        <w:t xml:space="preserve"> </w:t>
      </w:r>
    </w:p>
    <w:p w:rsidR="00FA1F4E" w:rsidRDefault="00FA1F4E"/>
    <w:p w:rsidR="00FA1F4E" w:rsidRDefault="003B2CFF">
      <w:pPr>
        <w:pStyle w:val="20"/>
      </w:pPr>
      <w:r>
        <w:t>5.2. Уточнение параметров функциональных зон</w:t>
      </w:r>
      <w:bookmarkEnd w:id="20"/>
    </w:p>
    <w:p w:rsidR="00FA1F4E" w:rsidRDefault="00FA1F4E">
      <w:pPr>
        <w:rPr>
          <w:szCs w:val="24"/>
        </w:rPr>
      </w:pPr>
    </w:p>
    <w:p w:rsidR="00FA1F4E" w:rsidRDefault="003B2CFF">
      <w:pPr>
        <w:rPr>
          <w:szCs w:val="24"/>
        </w:rPr>
      </w:pPr>
      <w:r>
        <w:rPr>
          <w:szCs w:val="24"/>
        </w:rPr>
        <w:t xml:space="preserve">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вносятся уточнения параметров функциональных зон с учетом </w:t>
      </w:r>
      <w:r>
        <w:rPr>
          <w:rFonts w:cs="Times New Roman"/>
          <w:szCs w:val="24"/>
        </w:rPr>
        <w:t>регламентов территориальных зон, установленных правилами землепользования и застройки</w:t>
      </w:r>
      <w:r>
        <w:rPr>
          <w:szCs w:val="24"/>
        </w:rPr>
        <w:t xml:space="preserve"> Лодейнопольского городского поселения Лодейнопольского муниципального района Ленинградской области, утвержденных приказом комитета градостроительной политики Ленинградской области от 26 марта 2021 года № 32. В таблице 2 представлен сравнительный анализ параметров функциональных зон, утвержденных действующим генеральным планом, и параметров застройки </w:t>
      </w:r>
      <w:r>
        <w:rPr>
          <w:rFonts w:cs="Times New Roman"/>
          <w:szCs w:val="24"/>
        </w:rPr>
        <w:t>с учетом регламентов территориальных зон, установленных правилами землепользования и застройки</w:t>
      </w:r>
      <w:r>
        <w:rPr>
          <w:szCs w:val="24"/>
        </w:rPr>
        <w:t>.</w:t>
      </w:r>
    </w:p>
    <w:p w:rsidR="00FA1F4E" w:rsidRDefault="00FA1F4E">
      <w:pPr>
        <w:rPr>
          <w:szCs w:val="24"/>
        </w:rPr>
      </w:pPr>
    </w:p>
    <w:p w:rsidR="00FA1F4E" w:rsidRDefault="003B2CFF">
      <w:pPr>
        <w:ind w:firstLine="0"/>
        <w:jc w:val="center"/>
        <w:rPr>
          <w:szCs w:val="24"/>
        </w:rPr>
      </w:pPr>
      <w:r>
        <w:rPr>
          <w:szCs w:val="24"/>
        </w:rPr>
        <w:t xml:space="preserve">Таблица 2. </w:t>
      </w:r>
      <w:r>
        <w:rPr>
          <w:rFonts w:cs="Times New Roman"/>
          <w:szCs w:val="24"/>
        </w:rPr>
        <w:t xml:space="preserve">Уточнение параметров </w:t>
      </w:r>
      <w:r>
        <w:rPr>
          <w:szCs w:val="24"/>
        </w:rPr>
        <w:t xml:space="preserve">функциональных зон </w:t>
      </w:r>
      <w:r>
        <w:rPr>
          <w:rFonts w:cs="Times New Roman"/>
          <w:szCs w:val="24"/>
        </w:rPr>
        <w:t>с учетом регламентов территориальных зон, установленных правилами землепользования и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405"/>
        <w:gridCol w:w="2797"/>
        <w:gridCol w:w="4783"/>
      </w:tblGrid>
      <w:tr w:rsidR="00FA1F4E">
        <w:trPr>
          <w:trHeight w:val="20"/>
          <w:tblHeader/>
        </w:trPr>
        <w:tc>
          <w:tcPr>
            <w:tcW w:w="209" w:type="pct"/>
            <w:shd w:val="clear" w:color="auto" w:fill="auto"/>
            <w:vAlign w:val="center"/>
          </w:tcPr>
          <w:p w:rsidR="00FA1F4E" w:rsidRDefault="003B2CFF">
            <w:pPr>
              <w:ind w:firstLine="0"/>
              <w:jc w:val="center"/>
              <w:rPr>
                <w:rFonts w:cs="Times New Roman"/>
              </w:rPr>
            </w:pPr>
            <w:r>
              <w:rPr>
                <w:rFonts w:cs="Times New Roman"/>
                <w:sz w:val="22"/>
              </w:rPr>
              <w:t>№</w:t>
            </w:r>
          </w:p>
        </w:tc>
        <w:tc>
          <w:tcPr>
            <w:tcW w:w="1154" w:type="pct"/>
            <w:shd w:val="clear" w:color="auto" w:fill="auto"/>
            <w:vAlign w:val="center"/>
          </w:tcPr>
          <w:p w:rsidR="00FA1F4E" w:rsidRDefault="003B2CFF">
            <w:pPr>
              <w:ind w:firstLine="0"/>
              <w:jc w:val="center"/>
              <w:rPr>
                <w:rFonts w:cs="Times New Roman"/>
              </w:rPr>
            </w:pPr>
            <w:r>
              <w:rPr>
                <w:rFonts w:cs="Times New Roman"/>
                <w:sz w:val="22"/>
              </w:rPr>
              <w:t>Функциональная зона</w:t>
            </w:r>
          </w:p>
        </w:tc>
        <w:tc>
          <w:tcPr>
            <w:tcW w:w="1342" w:type="pct"/>
            <w:shd w:val="clear" w:color="auto" w:fill="auto"/>
            <w:vAlign w:val="center"/>
          </w:tcPr>
          <w:p w:rsidR="00FA1F4E" w:rsidRDefault="003B2CFF">
            <w:pPr>
              <w:ind w:firstLine="0"/>
              <w:jc w:val="center"/>
              <w:rPr>
                <w:rFonts w:cs="Times New Roman"/>
                <w:b/>
              </w:rPr>
            </w:pPr>
            <w:r>
              <w:rPr>
                <w:rFonts w:cs="Times New Roman"/>
                <w:sz w:val="22"/>
              </w:rPr>
              <w:t>Параметры функциональных зон, утвержденные действующим генеральным планом</w:t>
            </w:r>
          </w:p>
        </w:tc>
        <w:tc>
          <w:tcPr>
            <w:tcW w:w="2295" w:type="pct"/>
            <w:vAlign w:val="center"/>
          </w:tcPr>
          <w:p w:rsidR="00FA1F4E" w:rsidRDefault="003B2CFF">
            <w:pPr>
              <w:ind w:firstLine="0"/>
              <w:jc w:val="center"/>
              <w:rPr>
                <w:rFonts w:cs="Times New Roman"/>
              </w:rPr>
            </w:pPr>
            <w:r>
              <w:rPr>
                <w:rFonts w:cs="Times New Roman"/>
                <w:sz w:val="22"/>
              </w:rPr>
              <w:t>Уточнение параметров с учетом регламентов территориальных зон, установленных правилами землепользования и застройки</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lastRenderedPageBreak/>
              <w:t>1</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застройки индивидуальными жилыми домами</w:t>
            </w:r>
          </w:p>
        </w:tc>
        <w:tc>
          <w:tcPr>
            <w:tcW w:w="1342"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sz w:val="22"/>
              </w:rPr>
              <w:t>Максимальная этажность:</w:t>
            </w:r>
            <w:r>
              <w:rPr>
                <w:rFonts w:cs="Times New Roman"/>
                <w:bCs/>
                <w:iCs/>
                <w:sz w:val="22"/>
              </w:rPr>
              <w:t xml:space="preserve"> до 3 этажей (включая мансардный)</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Максимальное количество этажей: </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для жилых домов: 3</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для иных видов разрешенного использования: 4</w:t>
            </w:r>
          </w:p>
          <w:p w:rsidR="00FA1F4E" w:rsidRDefault="003B2CFF">
            <w:pPr>
              <w:autoSpaceDE w:val="0"/>
              <w:autoSpaceDN w:val="0"/>
              <w:adjustRightInd w:val="0"/>
              <w:ind w:firstLine="0"/>
              <w:jc w:val="left"/>
              <w:rPr>
                <w:rFonts w:cs="Times New Roman"/>
                <w:bCs/>
                <w:iCs/>
              </w:rPr>
            </w:pPr>
            <w:r>
              <w:rPr>
                <w:rFonts w:eastAsia="Calibri" w:cs="Times New Roman"/>
                <w:sz w:val="22"/>
              </w:rPr>
              <w:t>Максимальный процент застройки в границах земельного участка (за исключением видов использования «Хранение автотранспорта»): 50 %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2</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Зона застройки малоэтажными жилыми домами </w:t>
            </w:r>
            <w:r>
              <w:rPr>
                <w:sz w:val="22"/>
              </w:rPr>
              <w:t>(до 4 этажей, включая мансардный)</w:t>
            </w:r>
          </w:p>
        </w:tc>
        <w:tc>
          <w:tcPr>
            <w:tcW w:w="1342"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sz w:val="22"/>
              </w:rPr>
              <w:t xml:space="preserve">Максимальная этажность: </w:t>
            </w:r>
            <w:r>
              <w:rPr>
                <w:rFonts w:cs="Times New Roman"/>
                <w:bCs/>
                <w:iCs/>
                <w:sz w:val="22"/>
              </w:rPr>
              <w:t>до 4 этажей включительно (включая мансардный)</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Максимальное количество этажей: </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для жилых домов: 4</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для иных видов разрешенного использования: 4</w:t>
            </w:r>
          </w:p>
          <w:p w:rsidR="00FA1F4E" w:rsidRDefault="003B2CFF">
            <w:pPr>
              <w:autoSpaceDE w:val="0"/>
              <w:autoSpaceDN w:val="0"/>
              <w:adjustRightInd w:val="0"/>
              <w:ind w:firstLine="0"/>
              <w:contextualSpacing/>
              <w:jc w:val="left"/>
              <w:rPr>
                <w:rFonts w:eastAsia="Calibri" w:cs="Times New Roman"/>
              </w:rPr>
            </w:pPr>
            <w:r>
              <w:rPr>
                <w:rFonts w:eastAsia="Calibri" w:cs="Times New Roman"/>
                <w:sz w:val="22"/>
              </w:rPr>
              <w:t>Максимальный процент застройки в границах земельного участка:</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 xml:space="preserve">для </w:t>
            </w:r>
            <w:r>
              <w:rPr>
                <w:rFonts w:eastAsia="Calibri" w:cs="Times New Roman"/>
                <w:sz w:val="22"/>
              </w:rPr>
              <w:t>видов использования «Малоэтажная многоквартирная жилая застройка»</w:t>
            </w:r>
            <w:r>
              <w:rPr>
                <w:rFonts w:cs="Times New Roman"/>
                <w:bCs/>
                <w:iCs/>
                <w:sz w:val="22"/>
              </w:rPr>
              <w:t>: 40 %</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 xml:space="preserve">для </w:t>
            </w:r>
            <w:r>
              <w:rPr>
                <w:rFonts w:eastAsia="Calibri" w:cs="Times New Roman"/>
                <w:sz w:val="22"/>
              </w:rPr>
              <w:t>видов использования «Блокированная жилая застройка», «Для индивидуального жилищного строительства»: 50 %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3</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Зона застройки среднеэтажными жилыми домами </w:t>
            </w:r>
            <w:r>
              <w:rPr>
                <w:sz w:val="22"/>
              </w:rPr>
              <w:t>(от 5 до 8 этажей, включая мансардный)</w:t>
            </w:r>
          </w:p>
        </w:tc>
        <w:tc>
          <w:tcPr>
            <w:tcW w:w="1342"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sz w:val="22"/>
              </w:rPr>
              <w:t xml:space="preserve">Максимальная этажность: </w:t>
            </w:r>
            <w:r>
              <w:rPr>
                <w:rFonts w:cs="Times New Roman"/>
                <w:bCs/>
                <w:iCs/>
                <w:sz w:val="22"/>
              </w:rPr>
              <w:t>до 8 этажей</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Максимальное количество этажей: </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для жилых домов: 8</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для иных видов разрешенного использования: 4</w:t>
            </w:r>
          </w:p>
          <w:p w:rsidR="00FA1F4E" w:rsidRDefault="003B2CFF">
            <w:pPr>
              <w:autoSpaceDE w:val="0"/>
              <w:autoSpaceDN w:val="0"/>
              <w:adjustRightInd w:val="0"/>
              <w:ind w:firstLine="0"/>
              <w:contextualSpacing/>
              <w:jc w:val="left"/>
              <w:rPr>
                <w:rFonts w:eastAsia="Calibri" w:cs="Times New Roman"/>
              </w:rPr>
            </w:pPr>
            <w:r>
              <w:rPr>
                <w:rFonts w:eastAsia="Calibri" w:cs="Times New Roman"/>
                <w:sz w:val="22"/>
              </w:rPr>
              <w:t>Максимальный процент застройки в границах земельного участка:</w:t>
            </w:r>
          </w:p>
          <w:p w:rsidR="00FA1F4E" w:rsidRDefault="003B2CFF">
            <w:pPr>
              <w:pStyle w:val="afff"/>
              <w:numPr>
                <w:ilvl w:val="0"/>
                <w:numId w:val="37"/>
              </w:numPr>
              <w:autoSpaceDE w:val="0"/>
              <w:autoSpaceDN w:val="0"/>
              <w:adjustRightInd w:val="0"/>
              <w:jc w:val="left"/>
              <w:rPr>
                <w:rFonts w:cs="Times New Roman"/>
                <w:bCs/>
                <w:iCs/>
              </w:rPr>
            </w:pPr>
            <w:r>
              <w:rPr>
                <w:rFonts w:cs="Times New Roman"/>
                <w:bCs/>
                <w:iCs/>
                <w:sz w:val="22"/>
              </w:rPr>
              <w:t xml:space="preserve">для </w:t>
            </w:r>
            <w:r>
              <w:rPr>
                <w:rFonts w:eastAsia="Calibri" w:cs="Times New Roman"/>
                <w:sz w:val="22"/>
              </w:rPr>
              <w:t>видов использования «Малоэтажная многоквартирная жилая застройка», «Среднеэтажная жилая застройка»</w:t>
            </w:r>
            <w:r>
              <w:rPr>
                <w:rFonts w:cs="Times New Roman"/>
                <w:bCs/>
                <w:iCs/>
                <w:sz w:val="22"/>
              </w:rPr>
              <w:t>: 40 %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4</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Общественно-деловая зона</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Максимальное количество этажей для </w:t>
            </w:r>
            <w:r>
              <w:rPr>
                <w:rFonts w:eastAsia="Calibri" w:cs="Times New Roman"/>
                <w:sz w:val="22"/>
              </w:rPr>
              <w:t>видов использования «</w:t>
            </w:r>
            <w:r>
              <w:rPr>
                <w:rFonts w:cs="Times New Roman"/>
                <w:sz w:val="22"/>
              </w:rPr>
              <w:t>Социальное обслуживание», «Деловое управление», «Банковская и страховая деятельность», «Гостиничное обслуживание», «Выставочно-ярмарочная деятельность»</w:t>
            </w:r>
            <w:r>
              <w:rPr>
                <w:rFonts w:cs="Times New Roman"/>
                <w:bCs/>
                <w:iCs/>
                <w:sz w:val="22"/>
              </w:rPr>
              <w:t>: 4</w:t>
            </w:r>
          </w:p>
          <w:p w:rsidR="00FA1F4E" w:rsidRDefault="003B2CFF">
            <w:pPr>
              <w:autoSpaceDE w:val="0"/>
              <w:autoSpaceDN w:val="0"/>
              <w:adjustRightInd w:val="0"/>
              <w:ind w:firstLine="0"/>
              <w:contextualSpacing/>
              <w:jc w:val="left"/>
              <w:rPr>
                <w:rFonts w:cs="Times New Roman"/>
                <w:bCs/>
                <w:iCs/>
              </w:rPr>
            </w:pPr>
            <w:r>
              <w:rPr>
                <w:rFonts w:eastAsia="Calibri" w:cs="Times New Roman"/>
                <w:sz w:val="22"/>
              </w:rPr>
              <w:t>Максимальный процент застройки в границах земельного участка: 65 %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5</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Многофункциональная общественно-деловая зона</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rPr>
                <w:rFonts w:eastAsia="Calibri" w:cs="Times New Roman"/>
              </w:rPr>
            </w:pPr>
            <w:r>
              <w:rPr>
                <w:rFonts w:eastAsia="Calibri" w:cs="Times New Roman"/>
                <w:sz w:val="22"/>
              </w:rPr>
              <w:t>Предельная (максимальная) высота объектов капитального строительства для основных видов использования: 30 м</w:t>
            </w:r>
          </w:p>
          <w:p w:rsidR="00FA1F4E" w:rsidRDefault="003B2CFF">
            <w:pPr>
              <w:ind w:firstLine="0"/>
              <w:rPr>
                <w:rFonts w:cs="Times New Roman"/>
                <w:bCs/>
              </w:rPr>
            </w:pPr>
            <w:r>
              <w:rPr>
                <w:rFonts w:eastAsia="Calibri" w:cs="Times New Roman"/>
                <w:sz w:val="22"/>
              </w:rPr>
              <w:t xml:space="preserve">Максимальный процент застройки в границах земельного участка (за исключением </w:t>
            </w:r>
            <w:r>
              <w:rPr>
                <w:rFonts w:cs="Times New Roman"/>
                <w:sz w:val="22"/>
              </w:rPr>
              <w:t>объектов инженерно-технического обеспечения)</w:t>
            </w:r>
            <w:r>
              <w:rPr>
                <w:rFonts w:eastAsia="Calibri" w:cs="Times New Roman"/>
                <w:sz w:val="22"/>
              </w:rPr>
              <w:t>: 60 %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6</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Коммунально-складская зона</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rPr>
                <w:rFonts w:cs="Times New Roman"/>
                <w:bCs/>
                <w:iCs/>
              </w:rPr>
            </w:pPr>
            <w:r>
              <w:rPr>
                <w:rFonts w:cs="Times New Roman"/>
                <w:bCs/>
                <w:iCs/>
                <w:sz w:val="22"/>
              </w:rPr>
              <w:t>Максимальное количество этажей: 1</w:t>
            </w:r>
          </w:p>
          <w:p w:rsidR="00FA1F4E" w:rsidRDefault="003B2CFF">
            <w:pPr>
              <w:ind w:firstLine="0"/>
              <w:rPr>
                <w:rFonts w:cs="Times New Roman"/>
                <w:bCs/>
              </w:rPr>
            </w:pPr>
            <w:r>
              <w:rPr>
                <w:rFonts w:cs="Times New Roman"/>
                <w:bCs/>
                <w:iCs/>
                <w:sz w:val="22"/>
              </w:rPr>
              <w:t xml:space="preserve">Максимальный класс опасности объектов: </w:t>
            </w:r>
            <w:r>
              <w:rPr>
                <w:rFonts w:cs="Times New Roman"/>
                <w:sz w:val="22"/>
              </w:rPr>
              <w:t>IV</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7</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Производственная зона</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Максимальное количество этажей (за исключением видов разрешенного использования </w:t>
            </w:r>
            <w:r>
              <w:rPr>
                <w:rFonts w:cs="Times New Roman"/>
                <w:sz w:val="22"/>
              </w:rPr>
              <w:t>«Общественное управление», «Амбулаторно-поликлиническое обслуживание», «Среднее и высшее профессиональное образование»</w:t>
            </w:r>
            <w:r>
              <w:rPr>
                <w:rFonts w:cs="Times New Roman"/>
                <w:bCs/>
                <w:iCs/>
                <w:sz w:val="22"/>
              </w:rPr>
              <w:t>): 4</w:t>
            </w:r>
          </w:p>
          <w:p w:rsidR="00FA1F4E" w:rsidRDefault="003B2CFF">
            <w:pPr>
              <w:ind w:firstLine="0"/>
              <w:jc w:val="left"/>
              <w:rPr>
                <w:rFonts w:cs="Times New Roman"/>
                <w:bCs/>
                <w:iCs/>
              </w:rPr>
            </w:pPr>
            <w:r>
              <w:rPr>
                <w:rFonts w:eastAsia="Calibri" w:cs="Times New Roman"/>
                <w:sz w:val="22"/>
              </w:rPr>
              <w:t xml:space="preserve">Максимальный процент застройки в границах земельного участка (за исключением </w:t>
            </w:r>
            <w:r>
              <w:rPr>
                <w:rFonts w:cs="Times New Roman"/>
                <w:sz w:val="22"/>
              </w:rPr>
              <w:t xml:space="preserve">объектов инженерно-технического </w:t>
            </w:r>
            <w:r>
              <w:rPr>
                <w:rFonts w:cs="Times New Roman"/>
                <w:bCs/>
                <w:iCs/>
                <w:sz w:val="22"/>
              </w:rPr>
              <w:t>обеспечения): 60 %</w:t>
            </w:r>
          </w:p>
          <w:p w:rsidR="00FA1F4E" w:rsidRDefault="003B2CFF">
            <w:pPr>
              <w:ind w:firstLine="0"/>
              <w:jc w:val="left"/>
              <w:rPr>
                <w:rFonts w:cs="Times New Roman"/>
                <w:bCs/>
              </w:rPr>
            </w:pPr>
            <w:r>
              <w:rPr>
                <w:rFonts w:cs="Times New Roman"/>
                <w:bCs/>
                <w:iCs/>
                <w:sz w:val="22"/>
              </w:rPr>
              <w:t xml:space="preserve">Максимальный класс опасности объектов: </w:t>
            </w:r>
            <w:r>
              <w:rPr>
                <w:rFonts w:cs="Times New Roman"/>
                <w:sz w:val="22"/>
              </w:rPr>
              <w:t>III</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lastRenderedPageBreak/>
              <w:t>8</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sz w:val="22"/>
              </w:rPr>
            </w:pPr>
            <w:r>
              <w:rPr>
                <w:rFonts w:cs="Times New Roman"/>
                <w:bCs/>
                <w:iCs/>
                <w:sz w:val="22"/>
              </w:rPr>
              <w:t>Зона транспортной инфраструктуры</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rPr>
                <w:rFonts w:cs="Times New Roman"/>
                <w:bCs/>
              </w:rPr>
            </w:pPr>
            <w:r>
              <w:rPr>
                <w:rFonts w:cs="Times New Roman"/>
                <w:bCs/>
                <w:iCs/>
                <w:sz w:val="22"/>
              </w:rPr>
              <w:t>Максимальное количество этажей (за исключением объектов транспорта): 4</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9</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инженерной инфраструктуры</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rPr>
                <w:rFonts w:cs="Times New Roman"/>
                <w:bCs/>
              </w:rPr>
            </w:pPr>
            <w:r>
              <w:rPr>
                <w:rFonts w:cs="Times New Roman"/>
                <w:bCs/>
                <w:sz w:val="22"/>
              </w:rPr>
              <w:t>Не установлены</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10</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садоводческих или огороднических некоммерческих товариществ</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Максимальное количество этажей: 3</w:t>
            </w:r>
          </w:p>
          <w:p w:rsidR="00FA1F4E" w:rsidRDefault="003B2CFF">
            <w:pPr>
              <w:ind w:firstLine="0"/>
              <w:jc w:val="left"/>
              <w:rPr>
                <w:rFonts w:cs="Times New Roman"/>
                <w:bCs/>
              </w:rPr>
            </w:pPr>
            <w:r>
              <w:rPr>
                <w:rFonts w:eastAsia="Calibri" w:cs="Times New Roman"/>
                <w:sz w:val="22"/>
              </w:rPr>
              <w:t>Максимальный процент застройки в границах земельного участка: 30 %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11</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Зоны сельскохозяйственных угодий</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jc w:val="left"/>
              <w:rPr>
                <w:rFonts w:cs="Times New Roman"/>
                <w:bCs/>
              </w:rPr>
            </w:pPr>
            <w:r>
              <w:rPr>
                <w:rFonts w:cs="Times New Roman"/>
                <w:bCs/>
                <w:sz w:val="22"/>
              </w:rPr>
              <w:t>Не установлены</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12</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Производственная зона сельскохозяйственных предприятий</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Максимальное количество этажей: 3</w:t>
            </w:r>
          </w:p>
          <w:p w:rsidR="00FA1F4E" w:rsidRDefault="003B2CFF">
            <w:pPr>
              <w:ind w:firstLine="0"/>
              <w:jc w:val="left"/>
              <w:rPr>
                <w:rFonts w:cs="Times New Roman"/>
                <w:bCs/>
                <w:iCs/>
              </w:rPr>
            </w:pPr>
            <w:r>
              <w:rPr>
                <w:rFonts w:eastAsia="Calibri" w:cs="Times New Roman"/>
                <w:sz w:val="22"/>
              </w:rPr>
              <w:t>Максимальный процент застройки в границах земельного участка</w:t>
            </w:r>
            <w:r>
              <w:rPr>
                <w:rFonts w:cs="Times New Roman"/>
                <w:bCs/>
                <w:iCs/>
                <w:sz w:val="22"/>
              </w:rPr>
              <w:t>: 60 %</w:t>
            </w:r>
          </w:p>
          <w:p w:rsidR="00FA1F4E" w:rsidRDefault="003B2CFF">
            <w:pPr>
              <w:ind w:firstLine="0"/>
              <w:jc w:val="left"/>
              <w:rPr>
                <w:rFonts w:cs="Times New Roman"/>
                <w:bCs/>
              </w:rPr>
            </w:pPr>
            <w:r>
              <w:rPr>
                <w:rFonts w:cs="Times New Roman"/>
                <w:bCs/>
                <w:iCs/>
                <w:sz w:val="22"/>
              </w:rPr>
              <w:t xml:space="preserve">Максимальный класс опасности объектов: </w:t>
            </w:r>
            <w:r>
              <w:rPr>
                <w:rFonts w:cs="Times New Roman"/>
                <w:sz w:val="22"/>
              </w:rPr>
              <w:t>I</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13</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Зона озелененных территорий общего пользования </w:t>
            </w:r>
            <w:r>
              <w:rPr>
                <w:sz w:val="22"/>
              </w:rPr>
              <w:t>(лесопарки, парки, сады, скверы, бульвары)</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Максимальное количество этажей: 4</w:t>
            </w:r>
          </w:p>
          <w:p w:rsidR="00FA1F4E" w:rsidRDefault="003B2CFF">
            <w:pPr>
              <w:ind w:firstLine="0"/>
              <w:rPr>
                <w:rFonts w:cs="Times New Roman"/>
                <w:bCs/>
              </w:rPr>
            </w:pPr>
            <w:r>
              <w:rPr>
                <w:rFonts w:eastAsia="Calibri" w:cs="Times New Roman"/>
                <w:sz w:val="22"/>
              </w:rPr>
              <w:t xml:space="preserve">Максимальный процент застройки в границах земельного участка (за исключением </w:t>
            </w:r>
            <w:r>
              <w:rPr>
                <w:rFonts w:cs="Times New Roman"/>
                <w:sz w:val="22"/>
              </w:rPr>
              <w:t>объектов инженерно-технического обеспечения)</w:t>
            </w:r>
            <w:r>
              <w:rPr>
                <w:rFonts w:eastAsia="Calibri" w:cs="Times New Roman"/>
                <w:sz w:val="22"/>
              </w:rPr>
              <w:t>: 40 %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14</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отдыха</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 xml:space="preserve">Максимальное количество этажей (за исключением вида разрешенного использования </w:t>
            </w:r>
            <w:r>
              <w:rPr>
                <w:rFonts w:cs="Times New Roman"/>
                <w:sz w:val="22"/>
              </w:rPr>
              <w:t>«Амбулаторно-поликлиническое обслуживание»</w:t>
            </w:r>
            <w:r>
              <w:rPr>
                <w:rFonts w:cs="Times New Roman"/>
                <w:bCs/>
                <w:iCs/>
                <w:sz w:val="22"/>
              </w:rPr>
              <w:t>): 4</w:t>
            </w:r>
          </w:p>
          <w:p w:rsidR="00FA1F4E" w:rsidRDefault="003B2CFF">
            <w:pPr>
              <w:ind w:firstLine="0"/>
              <w:jc w:val="left"/>
              <w:rPr>
                <w:rFonts w:cs="Times New Roman"/>
                <w:bCs/>
              </w:rPr>
            </w:pPr>
            <w:r>
              <w:rPr>
                <w:rFonts w:eastAsia="Calibri" w:cs="Times New Roman"/>
                <w:sz w:val="22"/>
              </w:rPr>
              <w:t xml:space="preserve">Максимальный процент застройки в границах земельного участка (за исключением </w:t>
            </w:r>
            <w:r>
              <w:rPr>
                <w:rFonts w:cs="Times New Roman"/>
                <w:sz w:val="22"/>
              </w:rPr>
              <w:t>объектов инженерно-технического обеспечения)</w:t>
            </w:r>
            <w:r>
              <w:rPr>
                <w:rFonts w:eastAsia="Calibri" w:cs="Times New Roman"/>
                <w:sz w:val="22"/>
              </w:rPr>
              <w:t>: 30 %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15</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лесов</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jc w:val="left"/>
              <w:rPr>
                <w:rFonts w:cs="Times New Roman"/>
                <w:bCs/>
              </w:rPr>
            </w:pPr>
            <w:r>
              <w:rPr>
                <w:rFonts w:cs="Times New Roman"/>
                <w:bCs/>
                <w:sz w:val="22"/>
              </w:rPr>
              <w:t>Не установлены</w:t>
            </w:r>
          </w:p>
        </w:tc>
      </w:tr>
      <w:tr w:rsidR="00FA1F4E">
        <w:trPr>
          <w:trHeight w:val="20"/>
          <w:tblHeader/>
        </w:trPr>
        <w:tc>
          <w:tcPr>
            <w:tcW w:w="209" w:type="pct"/>
            <w:shd w:val="clear" w:color="auto" w:fill="auto"/>
          </w:tcPr>
          <w:p w:rsidR="00FA1F4E" w:rsidRDefault="003B2CFF">
            <w:pPr>
              <w:autoSpaceDE w:val="0"/>
              <w:autoSpaceDN w:val="0"/>
              <w:adjustRightInd w:val="0"/>
              <w:ind w:firstLine="0"/>
              <w:jc w:val="left"/>
              <w:rPr>
                <w:rFonts w:cs="Times New Roman"/>
                <w:bCs/>
                <w:iCs/>
              </w:rPr>
            </w:pPr>
            <w:r>
              <w:rPr>
                <w:rFonts w:cs="Times New Roman"/>
                <w:bCs/>
                <w:iCs/>
                <w:sz w:val="22"/>
              </w:rPr>
              <w:t>16</w:t>
            </w:r>
          </w:p>
        </w:tc>
        <w:tc>
          <w:tcPr>
            <w:tcW w:w="1154" w:type="pct"/>
            <w:shd w:val="clear" w:color="auto" w:fill="auto"/>
          </w:tcPr>
          <w:p w:rsidR="00FA1F4E" w:rsidRDefault="003B2CFF">
            <w:pPr>
              <w:autoSpaceDE w:val="0"/>
              <w:autoSpaceDN w:val="0"/>
              <w:adjustRightInd w:val="0"/>
              <w:ind w:firstLine="0"/>
              <w:jc w:val="left"/>
              <w:rPr>
                <w:rFonts w:cs="Times New Roman"/>
                <w:bCs/>
                <w:iCs/>
              </w:rPr>
            </w:pPr>
            <w:r>
              <w:rPr>
                <w:rFonts w:cs="Times New Roman"/>
                <w:bCs/>
                <w:iCs/>
                <w:sz w:val="22"/>
              </w:rPr>
              <w:t>Зона кладбищ</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Fonts w:cs="Times New Roman"/>
                <w:bCs/>
                <w:iCs/>
              </w:rPr>
            </w:pPr>
            <w:r>
              <w:rPr>
                <w:rFonts w:cs="Times New Roman"/>
                <w:bCs/>
                <w:iCs/>
                <w:sz w:val="22"/>
              </w:rPr>
              <w:t>Максимальное количество этажей: 1</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17</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озелененных территорий специального назначения</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jc w:val="left"/>
              <w:rPr>
                <w:rFonts w:cs="Times New Roman"/>
                <w:bCs/>
              </w:rPr>
            </w:pPr>
            <w:r>
              <w:rPr>
                <w:rFonts w:cs="Times New Roman"/>
                <w:sz w:val="22"/>
              </w:rPr>
              <w:t>Минимальная площадь озеленения санитарно-защитных зон (50 - 100 м) – 60 %</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18</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режимных территорий</w:t>
            </w:r>
          </w:p>
        </w:tc>
        <w:tc>
          <w:tcPr>
            <w:tcW w:w="1342" w:type="pct"/>
            <w:shd w:val="clear" w:color="auto" w:fill="auto"/>
          </w:tcPr>
          <w:p w:rsidR="00FA1F4E" w:rsidRDefault="003B2CFF">
            <w:pPr>
              <w:ind w:firstLine="0"/>
              <w:jc w:val="left"/>
              <w:rPr>
                <w:rFonts w:cs="Times New Roman"/>
                <w:bCs/>
              </w:rPr>
            </w:pPr>
            <w:r>
              <w:rPr>
                <w:rFonts w:cs="Times New Roman"/>
                <w:bCs/>
                <w:sz w:val="22"/>
              </w:rPr>
              <w:t>Не установлены</w:t>
            </w:r>
          </w:p>
        </w:tc>
        <w:tc>
          <w:tcPr>
            <w:tcW w:w="2295" w:type="pct"/>
          </w:tcPr>
          <w:p w:rsidR="00FA1F4E" w:rsidRDefault="003B2CFF">
            <w:pPr>
              <w:ind w:firstLine="0"/>
              <w:jc w:val="left"/>
              <w:rPr>
                <w:rFonts w:cs="Times New Roman"/>
                <w:bCs/>
              </w:rPr>
            </w:pPr>
            <w:r>
              <w:rPr>
                <w:rFonts w:cs="Times New Roman"/>
                <w:bCs/>
                <w:sz w:val="22"/>
              </w:rPr>
              <w:t>Не установлены</w:t>
            </w:r>
          </w:p>
        </w:tc>
      </w:tr>
      <w:tr w:rsidR="00FA1F4E">
        <w:trPr>
          <w:trHeight w:val="20"/>
          <w:tblHeader/>
        </w:trPr>
        <w:tc>
          <w:tcPr>
            <w:tcW w:w="209"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19</w:t>
            </w:r>
          </w:p>
        </w:tc>
        <w:tc>
          <w:tcPr>
            <w:tcW w:w="1154"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iCs/>
                <w:sz w:val="22"/>
              </w:rPr>
              <w:t>Зона акваторий</w:t>
            </w:r>
          </w:p>
        </w:tc>
        <w:tc>
          <w:tcPr>
            <w:tcW w:w="1342" w:type="pct"/>
            <w:shd w:val="clear" w:color="auto" w:fill="auto"/>
          </w:tcPr>
          <w:p w:rsidR="00FA1F4E" w:rsidRDefault="003B2CFF">
            <w:pPr>
              <w:autoSpaceDE w:val="0"/>
              <w:autoSpaceDN w:val="0"/>
              <w:adjustRightInd w:val="0"/>
              <w:ind w:firstLine="0"/>
              <w:contextualSpacing/>
              <w:jc w:val="left"/>
              <w:rPr>
                <w:rFonts w:cs="Times New Roman"/>
                <w:bCs/>
                <w:iCs/>
              </w:rPr>
            </w:pPr>
            <w:r>
              <w:rPr>
                <w:rFonts w:cs="Times New Roman"/>
                <w:bCs/>
                <w:sz w:val="22"/>
              </w:rPr>
              <w:t>Не установлены</w:t>
            </w:r>
          </w:p>
        </w:tc>
        <w:tc>
          <w:tcPr>
            <w:tcW w:w="2295" w:type="pct"/>
          </w:tcPr>
          <w:p w:rsidR="00FA1F4E" w:rsidRDefault="003B2CFF">
            <w:pPr>
              <w:autoSpaceDE w:val="0"/>
              <w:autoSpaceDN w:val="0"/>
              <w:adjustRightInd w:val="0"/>
              <w:ind w:firstLine="0"/>
              <w:contextualSpacing/>
              <w:jc w:val="left"/>
              <w:rPr>
                <w:rStyle w:val="blk"/>
                <w:rFonts w:cs="Times New Roman"/>
              </w:rPr>
            </w:pPr>
            <w:r>
              <w:rPr>
                <w:rFonts w:cs="Times New Roman"/>
                <w:bCs/>
                <w:sz w:val="22"/>
              </w:rPr>
              <w:t>Не установлены</w:t>
            </w:r>
          </w:p>
        </w:tc>
      </w:tr>
    </w:tbl>
    <w:p w:rsidR="00FA1F4E" w:rsidRDefault="00FA1F4E">
      <w:pPr>
        <w:ind w:firstLine="0"/>
      </w:pPr>
    </w:p>
    <w:p w:rsidR="00FA1F4E" w:rsidRDefault="00FA1F4E">
      <w:pPr>
        <w:ind w:firstLine="0"/>
        <w:sectPr w:rsidR="00FA1F4E">
          <w:headerReference w:type="default" r:id="rId10"/>
          <w:pgSz w:w="11906" w:h="16838"/>
          <w:pgMar w:top="1134" w:right="567" w:bottom="1134" w:left="1134" w:header="708" w:footer="708" w:gutter="0"/>
          <w:cols w:space="708"/>
          <w:titlePg/>
          <w:docGrid w:linePitch="360"/>
        </w:sectPr>
      </w:pPr>
    </w:p>
    <w:p w:rsidR="00FA1F4E" w:rsidRDefault="003B2CFF">
      <w:pPr>
        <w:pStyle w:val="afff6"/>
        <w:tabs>
          <w:tab w:val="left" w:pos="3825"/>
        </w:tabs>
        <w:ind w:firstLine="0"/>
        <w:jc w:val="center"/>
        <w:rPr>
          <w:rStyle w:val="blk"/>
        </w:rPr>
      </w:pPr>
      <w:r>
        <w:lastRenderedPageBreak/>
        <w:t xml:space="preserve">Таблица 3. </w:t>
      </w:r>
      <w:r>
        <w:rPr>
          <w:rStyle w:val="blk"/>
        </w:rPr>
        <w:t>Описание функциональных зон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1727"/>
        <w:gridCol w:w="10616"/>
      </w:tblGrid>
      <w:tr w:rsidR="00FA1F4E">
        <w:trPr>
          <w:trHeight w:val="20"/>
          <w:tblHeader/>
        </w:trPr>
        <w:tc>
          <w:tcPr>
            <w:tcW w:w="826" w:type="pct"/>
            <w:shd w:val="clear" w:color="auto" w:fill="auto"/>
          </w:tcPr>
          <w:p w:rsidR="00FA1F4E" w:rsidRDefault="003B2CFF">
            <w:pPr>
              <w:ind w:firstLine="0"/>
              <w:jc w:val="center"/>
            </w:pPr>
            <w:r>
              <w:rPr>
                <w:sz w:val="22"/>
              </w:rPr>
              <w:t>Функциональная зона</w:t>
            </w:r>
          </w:p>
        </w:tc>
        <w:tc>
          <w:tcPr>
            <w:tcW w:w="584" w:type="pct"/>
          </w:tcPr>
          <w:p w:rsidR="00FA1F4E" w:rsidRDefault="003B2CFF">
            <w:pPr>
              <w:ind w:firstLine="0"/>
              <w:jc w:val="center"/>
              <w:rPr>
                <w:sz w:val="22"/>
              </w:rPr>
            </w:pPr>
            <w:r>
              <w:rPr>
                <w:sz w:val="22"/>
              </w:rPr>
              <w:t>Код</w:t>
            </w:r>
          </w:p>
        </w:tc>
        <w:tc>
          <w:tcPr>
            <w:tcW w:w="3590" w:type="pct"/>
            <w:shd w:val="clear" w:color="auto" w:fill="auto"/>
            <w:vAlign w:val="center"/>
          </w:tcPr>
          <w:p w:rsidR="00FA1F4E" w:rsidRDefault="003B2CFF">
            <w:pPr>
              <w:ind w:firstLine="0"/>
              <w:jc w:val="center"/>
            </w:pPr>
            <w:r>
              <w:rPr>
                <w:sz w:val="22"/>
              </w:rPr>
              <w:t>Описание функциональных зон</w:t>
            </w:r>
          </w:p>
        </w:tc>
      </w:tr>
      <w:tr w:rsidR="00FA1F4E">
        <w:trPr>
          <w:trHeight w:val="20"/>
        </w:trPr>
        <w:tc>
          <w:tcPr>
            <w:tcW w:w="826" w:type="pct"/>
            <w:vMerge w:val="restart"/>
            <w:shd w:val="clear" w:color="auto" w:fill="auto"/>
          </w:tcPr>
          <w:p w:rsidR="00FA1F4E" w:rsidRDefault="003B2CFF">
            <w:pPr>
              <w:ind w:firstLine="0"/>
            </w:pPr>
            <w:r>
              <w:rPr>
                <w:sz w:val="22"/>
              </w:rPr>
              <w:t>Зона застройки индивидуальными жилыми домами</w:t>
            </w:r>
          </w:p>
        </w:tc>
        <w:tc>
          <w:tcPr>
            <w:tcW w:w="584" w:type="pct"/>
          </w:tcPr>
          <w:p w:rsidR="00FA1F4E" w:rsidRDefault="003B2CFF">
            <w:pPr>
              <w:ind w:firstLine="0"/>
              <w:jc w:val="center"/>
              <w:rPr>
                <w:sz w:val="22"/>
              </w:rPr>
            </w:pPr>
            <w:r>
              <w:rPr>
                <w:sz w:val="22"/>
              </w:rPr>
              <w:t>Ж1</w:t>
            </w:r>
          </w:p>
          <w:p w:rsidR="00FA1F4E" w:rsidRDefault="00FA1F4E">
            <w:pPr>
              <w:ind w:firstLine="0"/>
              <w:jc w:val="center"/>
              <w:rPr>
                <w:sz w:val="22"/>
              </w:rPr>
            </w:pPr>
          </w:p>
          <w:p w:rsidR="00FA1F4E" w:rsidRDefault="00FA1F4E">
            <w:pPr>
              <w:ind w:firstLine="0"/>
              <w:jc w:val="center"/>
              <w:rPr>
                <w:sz w:val="22"/>
              </w:rPr>
            </w:pPr>
          </w:p>
          <w:p w:rsidR="00FA1F4E" w:rsidRDefault="00FA1F4E">
            <w:pPr>
              <w:ind w:firstLine="0"/>
              <w:jc w:val="center"/>
              <w:rPr>
                <w:sz w:val="22"/>
              </w:rPr>
            </w:pPr>
          </w:p>
        </w:tc>
        <w:tc>
          <w:tcPr>
            <w:tcW w:w="3590" w:type="pct"/>
            <w:vMerge w:val="restart"/>
            <w:shd w:val="clear" w:color="auto" w:fill="auto"/>
          </w:tcPr>
          <w:p w:rsidR="00FA1F4E" w:rsidRDefault="003B2CFF">
            <w:pPr>
              <w:rPr>
                <w:sz w:val="22"/>
              </w:rPr>
            </w:pPr>
            <w:r>
              <w:rPr>
                <w:sz w:val="22"/>
              </w:rPr>
              <w:t>Зона, предназначенная преимущественно для размещения индивидуальных жилых домов с приусадебными участками (участки для индивидуального жилищного строительства, для ведения личного подсобного хозяйства), с возможностью размещения блокированной жилой застройки, объектов обслуживания жилой застройки, а также индивидуальных гаражей,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а также объектов религиозного назначения, объектов коммунального хозяйства, улично-дорожной сети, проездов и огородов.</w:t>
            </w:r>
          </w:p>
          <w:p w:rsidR="00FA1F4E" w:rsidRDefault="003B2CFF">
            <w:r>
              <w:rPr>
                <w:sz w:val="22"/>
              </w:rPr>
              <w:t>Для функциональной зоны застройки индивидуальными жилыми домами с кодом Ж1.1 описание функциональной зоны применяется с учетом примечания 1.</w:t>
            </w:r>
          </w:p>
        </w:tc>
      </w:tr>
      <w:tr w:rsidR="00FA1F4E">
        <w:trPr>
          <w:trHeight w:val="20"/>
        </w:trPr>
        <w:tc>
          <w:tcPr>
            <w:tcW w:w="826" w:type="pct"/>
            <w:vMerge/>
            <w:shd w:val="clear" w:color="auto" w:fill="auto"/>
          </w:tcPr>
          <w:p w:rsidR="00FA1F4E" w:rsidRDefault="00FA1F4E">
            <w:pPr>
              <w:ind w:firstLine="0"/>
              <w:rPr>
                <w:sz w:val="22"/>
              </w:rPr>
            </w:pPr>
          </w:p>
        </w:tc>
        <w:tc>
          <w:tcPr>
            <w:tcW w:w="584" w:type="pct"/>
          </w:tcPr>
          <w:p w:rsidR="00FA1F4E" w:rsidRDefault="003B2CFF">
            <w:pPr>
              <w:ind w:firstLine="0"/>
              <w:jc w:val="center"/>
              <w:rPr>
                <w:sz w:val="22"/>
              </w:rPr>
            </w:pPr>
            <w:r>
              <w:rPr>
                <w:sz w:val="22"/>
              </w:rPr>
              <w:t>Ж1.1</w:t>
            </w:r>
          </w:p>
        </w:tc>
        <w:tc>
          <w:tcPr>
            <w:tcW w:w="3590" w:type="pct"/>
            <w:vMerge/>
            <w:shd w:val="clear" w:color="auto" w:fill="auto"/>
          </w:tcPr>
          <w:p w:rsidR="00FA1F4E" w:rsidRDefault="00FA1F4E">
            <w:pPr>
              <w:rPr>
                <w:sz w:val="22"/>
              </w:rPr>
            </w:pPr>
          </w:p>
        </w:tc>
      </w:tr>
      <w:tr w:rsidR="00FA1F4E">
        <w:trPr>
          <w:trHeight w:val="20"/>
        </w:trPr>
        <w:tc>
          <w:tcPr>
            <w:tcW w:w="826" w:type="pct"/>
            <w:shd w:val="clear" w:color="auto" w:fill="auto"/>
          </w:tcPr>
          <w:p w:rsidR="00FA1F4E" w:rsidRDefault="003B2CFF">
            <w:pPr>
              <w:ind w:firstLine="0"/>
            </w:pPr>
            <w:r>
              <w:rPr>
                <w:sz w:val="22"/>
              </w:rPr>
              <w:t>Зона застройки малоэтажными жилыми домами (до 4 этажей, включая мансардный)</w:t>
            </w:r>
          </w:p>
        </w:tc>
        <w:tc>
          <w:tcPr>
            <w:tcW w:w="584" w:type="pct"/>
          </w:tcPr>
          <w:p w:rsidR="00FA1F4E" w:rsidRDefault="003B2CFF">
            <w:pPr>
              <w:ind w:firstLine="0"/>
              <w:jc w:val="center"/>
              <w:rPr>
                <w:sz w:val="22"/>
              </w:rPr>
            </w:pPr>
            <w:r>
              <w:rPr>
                <w:sz w:val="22"/>
              </w:rPr>
              <w:t>Ж2</w:t>
            </w:r>
          </w:p>
        </w:tc>
        <w:tc>
          <w:tcPr>
            <w:tcW w:w="3590" w:type="pct"/>
            <w:vMerge w:val="restart"/>
            <w:shd w:val="clear" w:color="auto" w:fill="auto"/>
          </w:tcPr>
          <w:p w:rsidR="00FA1F4E" w:rsidRDefault="003B2CFF">
            <w:pPr>
              <w:rPr>
                <w:sz w:val="22"/>
              </w:rPr>
            </w:pPr>
            <w:r>
              <w:rPr>
                <w:sz w:val="22"/>
              </w:rPr>
              <w:t>Зоны, предназначенные преимущественно для размещения многоквартирных жилых домов с возможностью размещения объектов обслуживания жилой застройки, а также индивидуальных гаражей,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объектов жилищно-коммунального хозяйства, улично-дорожной сети, проездов.</w:t>
            </w:r>
          </w:p>
          <w:p w:rsidR="00FA1F4E" w:rsidRDefault="003B2CFF">
            <w:pPr>
              <w:rPr>
                <w:sz w:val="22"/>
              </w:rPr>
            </w:pPr>
            <w:r>
              <w:rPr>
                <w:sz w:val="22"/>
              </w:rPr>
              <w:t>Зона застройки малоэтажными жилыми домами установлена с возможностью размещения земельных участков для индивидуального жилищного строительства.</w:t>
            </w:r>
          </w:p>
          <w:p w:rsidR="00FA1F4E" w:rsidRDefault="003B2CFF">
            <w:pPr>
              <w:rPr>
                <w:b/>
              </w:rPr>
            </w:pPr>
            <w:r>
              <w:rPr>
                <w:sz w:val="22"/>
              </w:rPr>
              <w:t>Для функциональной зоны застройки среднеэтажными жилыми домами (от 5 до 8 этажей, включая мансардный) с кодом Ж3.1 описание функциональной зоны применяется с учетом примечания 1.</w:t>
            </w:r>
          </w:p>
        </w:tc>
      </w:tr>
      <w:tr w:rsidR="00FA1F4E">
        <w:trPr>
          <w:trHeight w:val="20"/>
        </w:trPr>
        <w:tc>
          <w:tcPr>
            <w:tcW w:w="826" w:type="pct"/>
            <w:vMerge w:val="restart"/>
            <w:shd w:val="clear" w:color="auto" w:fill="auto"/>
          </w:tcPr>
          <w:p w:rsidR="00FA1F4E" w:rsidRDefault="003B2CFF">
            <w:pPr>
              <w:ind w:firstLine="0"/>
            </w:pPr>
            <w:r>
              <w:rPr>
                <w:sz w:val="22"/>
              </w:rPr>
              <w:t>Зона застройки среднеэтажными жилыми домами (от 5 до 8 этажей, включая мансардный)</w:t>
            </w:r>
          </w:p>
        </w:tc>
        <w:tc>
          <w:tcPr>
            <w:tcW w:w="584" w:type="pct"/>
          </w:tcPr>
          <w:p w:rsidR="00FA1F4E" w:rsidRDefault="003B2CFF">
            <w:pPr>
              <w:ind w:firstLine="0"/>
              <w:jc w:val="center"/>
              <w:rPr>
                <w:sz w:val="22"/>
              </w:rPr>
            </w:pPr>
            <w:r>
              <w:rPr>
                <w:sz w:val="22"/>
              </w:rPr>
              <w:t>Ж3</w:t>
            </w:r>
          </w:p>
          <w:p w:rsidR="00FA1F4E" w:rsidRDefault="00FA1F4E">
            <w:pPr>
              <w:ind w:firstLine="0"/>
              <w:jc w:val="center"/>
              <w:rPr>
                <w:sz w:val="22"/>
              </w:rPr>
            </w:pPr>
          </w:p>
        </w:tc>
        <w:tc>
          <w:tcPr>
            <w:tcW w:w="3590" w:type="pct"/>
            <w:vMerge/>
            <w:shd w:val="clear" w:color="auto" w:fill="auto"/>
          </w:tcPr>
          <w:p w:rsidR="00FA1F4E" w:rsidRDefault="00FA1F4E"/>
        </w:tc>
      </w:tr>
      <w:tr w:rsidR="00FA1F4E">
        <w:trPr>
          <w:trHeight w:val="20"/>
        </w:trPr>
        <w:tc>
          <w:tcPr>
            <w:tcW w:w="826" w:type="pct"/>
            <w:vMerge/>
            <w:shd w:val="clear" w:color="auto" w:fill="auto"/>
          </w:tcPr>
          <w:p w:rsidR="00FA1F4E" w:rsidRDefault="00FA1F4E">
            <w:pPr>
              <w:ind w:firstLine="0"/>
              <w:rPr>
                <w:sz w:val="22"/>
              </w:rPr>
            </w:pPr>
          </w:p>
        </w:tc>
        <w:tc>
          <w:tcPr>
            <w:tcW w:w="584" w:type="pct"/>
          </w:tcPr>
          <w:p w:rsidR="00FA1F4E" w:rsidRDefault="003B2CFF">
            <w:pPr>
              <w:ind w:firstLine="0"/>
              <w:jc w:val="center"/>
              <w:rPr>
                <w:sz w:val="22"/>
              </w:rPr>
            </w:pPr>
            <w:r>
              <w:rPr>
                <w:sz w:val="22"/>
              </w:rPr>
              <w:t>Ж3.1</w:t>
            </w:r>
          </w:p>
        </w:tc>
        <w:tc>
          <w:tcPr>
            <w:tcW w:w="3590" w:type="pct"/>
            <w:vMerge/>
            <w:shd w:val="clear" w:color="auto" w:fill="auto"/>
          </w:tcPr>
          <w:p w:rsidR="00FA1F4E" w:rsidRDefault="00FA1F4E"/>
        </w:tc>
      </w:tr>
      <w:tr w:rsidR="00C874DA" w:rsidRPr="00C874DA">
        <w:trPr>
          <w:trHeight w:val="20"/>
        </w:trPr>
        <w:tc>
          <w:tcPr>
            <w:tcW w:w="826" w:type="pct"/>
            <w:vMerge w:val="restart"/>
            <w:shd w:val="clear" w:color="auto" w:fill="auto"/>
          </w:tcPr>
          <w:p w:rsidR="00FA1F4E" w:rsidRPr="00C874DA" w:rsidRDefault="003B2CFF">
            <w:pPr>
              <w:ind w:firstLine="0"/>
            </w:pPr>
            <w:r w:rsidRPr="00C874DA">
              <w:rPr>
                <w:sz w:val="22"/>
              </w:rPr>
              <w:t>Общественно-деловая зона</w:t>
            </w:r>
          </w:p>
        </w:tc>
        <w:tc>
          <w:tcPr>
            <w:tcW w:w="584" w:type="pct"/>
          </w:tcPr>
          <w:p w:rsidR="00FA1F4E" w:rsidRPr="00C874DA" w:rsidRDefault="003B2CFF">
            <w:pPr>
              <w:ind w:firstLine="0"/>
              <w:jc w:val="center"/>
              <w:rPr>
                <w:sz w:val="22"/>
              </w:rPr>
            </w:pPr>
            <w:r w:rsidRPr="00C874DA">
              <w:rPr>
                <w:sz w:val="22"/>
              </w:rPr>
              <w:t>О1</w:t>
            </w: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tc>
        <w:tc>
          <w:tcPr>
            <w:tcW w:w="3590" w:type="pct"/>
            <w:vMerge w:val="restart"/>
            <w:shd w:val="clear" w:color="auto" w:fill="auto"/>
          </w:tcPr>
          <w:p w:rsidR="00FA1F4E" w:rsidRPr="00C874DA" w:rsidRDefault="003B2CFF">
            <w:r w:rsidRPr="00C874DA">
              <w:rPr>
                <w:sz w:val="22"/>
              </w:rPr>
              <w:t>Зона, предназначенная преимущественно для размещения объектов социальной инфраструктуры: дошкольных образовательных организаций, общеобразовательных организаций, объектов, реализующих программы профессионального и высшего образования, объектов культуры и искусства, здравоохранения, физической культуры и массового спорта, объектов социального назначения, культовых зданий и сооружений, административных зданий, объектов торговли, делового, общественного и коммерческого назначения, с возможностью размещения объектов спасательных служб, объектов обеспечения деятельности по исполнению наказаний, а также объектов коммунально-бытового назначения, объектов жилищно-коммунального хозяйства, улично-дорожной сети, проездов.</w:t>
            </w:r>
          </w:p>
          <w:p w:rsidR="00FA1F4E" w:rsidRPr="00C874DA" w:rsidRDefault="003B2CFF">
            <w:pPr>
              <w:ind w:firstLine="0"/>
              <w:rPr>
                <w:sz w:val="22"/>
              </w:rPr>
            </w:pPr>
            <w:r w:rsidRPr="00C874DA">
              <w:rPr>
                <w:sz w:val="22"/>
              </w:rPr>
              <w:t xml:space="preserve">Данная функциональная зона установлена с учетом размещения объекта регионального значения: ветеринарная лечебница, питомник животных, кинологический центр, иной подобный объект (планируемая к строительству на земельном участке с кадастровым номером 47:06:0102006:21); объектов местного значения муниципального района: «Строительство лыжной базы в г. Лодейное Поле, ул. Железнодорожная, д. 119», межпоселенческая библиотека, молодежный центр, речной вокзал; объектов местного значения поселения: спортивные плоскостные сооружения, физкультурно-оздоровительный комплекс, </w:t>
            </w:r>
            <w:r w:rsidRPr="00C874DA">
              <w:rPr>
                <w:bCs/>
                <w:sz w:val="22"/>
              </w:rPr>
              <w:t>Дом народного творчества</w:t>
            </w:r>
            <w:r w:rsidRPr="00C874DA">
              <w:rPr>
                <w:sz w:val="22"/>
              </w:rPr>
              <w:t xml:space="preserve"> (планируемый к реконструкции) и офицерский клуб (планируемый к реконструкции).</w:t>
            </w:r>
          </w:p>
          <w:p w:rsidR="00FA1F4E" w:rsidRPr="00C874DA" w:rsidRDefault="003B2CFF">
            <w:r w:rsidRPr="00C874DA">
              <w:rPr>
                <w:sz w:val="22"/>
              </w:rPr>
              <w:t>Для общественно-деловой зоны с кодом О1.1 описание функциональной зоны применяется с учетом примечания 1.</w:t>
            </w:r>
          </w:p>
        </w:tc>
      </w:tr>
      <w:tr w:rsidR="00FA1F4E">
        <w:trPr>
          <w:trHeight w:val="20"/>
        </w:trPr>
        <w:tc>
          <w:tcPr>
            <w:tcW w:w="826" w:type="pct"/>
            <w:vMerge/>
            <w:shd w:val="clear" w:color="auto" w:fill="auto"/>
          </w:tcPr>
          <w:p w:rsidR="00FA1F4E" w:rsidRDefault="00FA1F4E">
            <w:pPr>
              <w:ind w:firstLine="0"/>
              <w:rPr>
                <w:sz w:val="22"/>
              </w:rPr>
            </w:pPr>
          </w:p>
        </w:tc>
        <w:tc>
          <w:tcPr>
            <w:tcW w:w="584" w:type="pct"/>
          </w:tcPr>
          <w:p w:rsidR="00FA1F4E" w:rsidRDefault="003B2CFF">
            <w:pPr>
              <w:ind w:firstLine="0"/>
              <w:jc w:val="center"/>
              <w:rPr>
                <w:sz w:val="22"/>
              </w:rPr>
            </w:pPr>
            <w:r>
              <w:rPr>
                <w:sz w:val="22"/>
              </w:rPr>
              <w:t>О1.1</w:t>
            </w:r>
          </w:p>
        </w:tc>
        <w:tc>
          <w:tcPr>
            <w:tcW w:w="3590" w:type="pct"/>
            <w:vMerge/>
            <w:shd w:val="clear" w:color="auto" w:fill="auto"/>
          </w:tcPr>
          <w:p w:rsidR="00FA1F4E" w:rsidRDefault="00FA1F4E">
            <w:pPr>
              <w:rPr>
                <w:sz w:val="22"/>
              </w:rPr>
            </w:pPr>
          </w:p>
        </w:tc>
      </w:tr>
      <w:tr w:rsidR="00FA1F4E">
        <w:trPr>
          <w:trHeight w:val="20"/>
        </w:trPr>
        <w:tc>
          <w:tcPr>
            <w:tcW w:w="826" w:type="pct"/>
            <w:shd w:val="clear" w:color="auto" w:fill="auto"/>
          </w:tcPr>
          <w:p w:rsidR="00FA1F4E" w:rsidRDefault="003B2CFF">
            <w:pPr>
              <w:ind w:firstLine="0"/>
            </w:pPr>
            <w:r>
              <w:rPr>
                <w:sz w:val="22"/>
              </w:rPr>
              <w:t xml:space="preserve">Многофункциональная </w:t>
            </w:r>
            <w:r>
              <w:rPr>
                <w:sz w:val="22"/>
              </w:rPr>
              <w:lastRenderedPageBreak/>
              <w:t>общественно-деловая зона</w:t>
            </w:r>
          </w:p>
        </w:tc>
        <w:tc>
          <w:tcPr>
            <w:tcW w:w="584" w:type="pct"/>
          </w:tcPr>
          <w:p w:rsidR="00FA1F4E" w:rsidRDefault="003B2CFF">
            <w:pPr>
              <w:ind w:firstLine="0"/>
              <w:jc w:val="center"/>
              <w:rPr>
                <w:sz w:val="22"/>
              </w:rPr>
            </w:pPr>
            <w:r>
              <w:rPr>
                <w:sz w:val="22"/>
              </w:rPr>
              <w:lastRenderedPageBreak/>
              <w:t>О2</w:t>
            </w:r>
          </w:p>
        </w:tc>
        <w:tc>
          <w:tcPr>
            <w:tcW w:w="3590" w:type="pct"/>
            <w:shd w:val="clear" w:color="auto" w:fill="auto"/>
          </w:tcPr>
          <w:p w:rsidR="00FA1F4E" w:rsidRDefault="003B2CFF">
            <w:r>
              <w:rPr>
                <w:sz w:val="22"/>
              </w:rPr>
              <w:t xml:space="preserve">Зона, предназначенная преимущественно для размещения объектов отдыха и туризма с возможностью </w:t>
            </w:r>
            <w:r>
              <w:rPr>
                <w:sz w:val="22"/>
              </w:rPr>
              <w:lastRenderedPageBreak/>
              <w:t>размещения объектов торговли, делового, общественного и коммерческого назначения, а также объектов коммунального назначения, улично-дорожной сети, проездов.</w:t>
            </w:r>
          </w:p>
        </w:tc>
      </w:tr>
      <w:tr w:rsidR="00FA1F4E">
        <w:trPr>
          <w:trHeight w:val="20"/>
        </w:trPr>
        <w:tc>
          <w:tcPr>
            <w:tcW w:w="826" w:type="pct"/>
            <w:vMerge w:val="restart"/>
            <w:shd w:val="clear" w:color="auto" w:fill="auto"/>
          </w:tcPr>
          <w:p w:rsidR="00FA1F4E" w:rsidRDefault="003B2CFF">
            <w:pPr>
              <w:ind w:firstLine="0"/>
            </w:pPr>
            <w:r>
              <w:rPr>
                <w:sz w:val="22"/>
              </w:rPr>
              <w:lastRenderedPageBreak/>
              <w:t>Производственная зона</w:t>
            </w:r>
          </w:p>
        </w:tc>
        <w:tc>
          <w:tcPr>
            <w:tcW w:w="584" w:type="pct"/>
          </w:tcPr>
          <w:p w:rsidR="00FA1F4E" w:rsidRDefault="003B2CFF">
            <w:pPr>
              <w:ind w:firstLine="0"/>
              <w:jc w:val="center"/>
              <w:rPr>
                <w:sz w:val="22"/>
              </w:rPr>
            </w:pPr>
            <w:r>
              <w:rPr>
                <w:sz w:val="22"/>
              </w:rPr>
              <w:t>П1</w:t>
            </w:r>
          </w:p>
          <w:p w:rsidR="00FA1F4E" w:rsidRDefault="00FA1F4E">
            <w:pPr>
              <w:ind w:firstLine="0"/>
              <w:jc w:val="center"/>
              <w:rPr>
                <w:sz w:val="22"/>
              </w:rPr>
            </w:pPr>
          </w:p>
          <w:p w:rsidR="00FA1F4E" w:rsidRDefault="00FA1F4E">
            <w:pPr>
              <w:ind w:firstLine="0"/>
              <w:jc w:val="center"/>
              <w:rPr>
                <w:sz w:val="22"/>
              </w:rPr>
            </w:pPr>
          </w:p>
        </w:tc>
        <w:tc>
          <w:tcPr>
            <w:tcW w:w="3590" w:type="pct"/>
            <w:vMerge w:val="restart"/>
            <w:shd w:val="clear" w:color="auto" w:fill="auto"/>
          </w:tcPr>
          <w:p w:rsidR="00FA1F4E" w:rsidRDefault="003B2CFF">
            <w:pPr>
              <w:rPr>
                <w:sz w:val="22"/>
              </w:rPr>
            </w:pPr>
            <w:r>
              <w:rPr>
                <w:sz w:val="22"/>
              </w:rPr>
              <w:t>Для размещения объектов производственного назначения, с возможностью размещения обслуживающих и иных вспомогательных объектов и сооружений, технологически связанных с производственной деятельностью, размещения гаражей, иных объектов специального назначения (кладбища), а также организации территорий санитарно-защитных зон в границах функциональной зоны.</w:t>
            </w:r>
          </w:p>
          <w:p w:rsidR="00FA1F4E" w:rsidRDefault="003B2CFF">
            <w:r>
              <w:rPr>
                <w:sz w:val="22"/>
              </w:rPr>
              <w:t>Для производственной зоны с кодом П1.1 описание функциональной зоны применяется с учетом примечания 1.</w:t>
            </w:r>
          </w:p>
        </w:tc>
      </w:tr>
      <w:tr w:rsidR="00FA1F4E">
        <w:trPr>
          <w:trHeight w:val="20"/>
        </w:trPr>
        <w:tc>
          <w:tcPr>
            <w:tcW w:w="826" w:type="pct"/>
            <w:vMerge/>
            <w:shd w:val="clear" w:color="auto" w:fill="auto"/>
          </w:tcPr>
          <w:p w:rsidR="00FA1F4E" w:rsidRDefault="00FA1F4E">
            <w:pPr>
              <w:ind w:firstLine="0"/>
              <w:rPr>
                <w:sz w:val="22"/>
              </w:rPr>
            </w:pPr>
          </w:p>
        </w:tc>
        <w:tc>
          <w:tcPr>
            <w:tcW w:w="584" w:type="pct"/>
          </w:tcPr>
          <w:p w:rsidR="00FA1F4E" w:rsidRDefault="003B2CFF">
            <w:pPr>
              <w:ind w:firstLine="0"/>
              <w:jc w:val="center"/>
              <w:rPr>
                <w:sz w:val="22"/>
              </w:rPr>
            </w:pPr>
            <w:r>
              <w:rPr>
                <w:sz w:val="22"/>
              </w:rPr>
              <w:t>П1.1</w:t>
            </w:r>
          </w:p>
        </w:tc>
        <w:tc>
          <w:tcPr>
            <w:tcW w:w="3590" w:type="pct"/>
            <w:vMerge/>
            <w:shd w:val="clear" w:color="auto" w:fill="auto"/>
          </w:tcPr>
          <w:p w:rsidR="00FA1F4E" w:rsidRDefault="00FA1F4E">
            <w:pPr>
              <w:rPr>
                <w:sz w:val="22"/>
              </w:rPr>
            </w:pPr>
          </w:p>
        </w:tc>
      </w:tr>
      <w:tr w:rsidR="00FA1F4E">
        <w:trPr>
          <w:trHeight w:val="20"/>
        </w:trPr>
        <w:tc>
          <w:tcPr>
            <w:tcW w:w="826" w:type="pct"/>
            <w:shd w:val="clear" w:color="auto" w:fill="auto"/>
          </w:tcPr>
          <w:p w:rsidR="00FA1F4E" w:rsidRDefault="003B2CFF">
            <w:pPr>
              <w:ind w:firstLine="0"/>
            </w:pPr>
            <w:r>
              <w:rPr>
                <w:sz w:val="22"/>
              </w:rPr>
              <w:t>Коммунально-складская зона</w:t>
            </w:r>
          </w:p>
        </w:tc>
        <w:tc>
          <w:tcPr>
            <w:tcW w:w="584" w:type="pct"/>
          </w:tcPr>
          <w:p w:rsidR="00FA1F4E" w:rsidRDefault="003B2CFF">
            <w:pPr>
              <w:ind w:firstLine="0"/>
              <w:jc w:val="center"/>
              <w:rPr>
                <w:sz w:val="22"/>
              </w:rPr>
            </w:pPr>
            <w:r>
              <w:rPr>
                <w:sz w:val="22"/>
              </w:rPr>
              <w:t>П2</w:t>
            </w:r>
          </w:p>
        </w:tc>
        <w:tc>
          <w:tcPr>
            <w:tcW w:w="3590" w:type="pct"/>
            <w:shd w:val="clear" w:color="auto" w:fill="auto"/>
          </w:tcPr>
          <w:p w:rsidR="00FA1F4E" w:rsidRDefault="003B2CFF">
            <w:r>
              <w:rPr>
                <w:sz w:val="22"/>
              </w:rPr>
              <w:t>Зона, предназначенная преимущественно для размещения объектов коммунального хозяйства, с возможностью размещения предприятий торговли, включая предприятия оптовой, мелкооптовой торговли, сооружений и помещений объектов аварийно-спасательных служб, объектов складского назначения и бытового обслуживания населения, индивидуальных гаражей, ветлечебниц с содержанием животных, питомников, кинологических центров, пунктов передержки животных, а также организации территорий санитарно-защитных зон в границах функциональной зоны в случае необходимости их установления.</w:t>
            </w:r>
          </w:p>
        </w:tc>
      </w:tr>
      <w:tr w:rsidR="00FA1F4E">
        <w:trPr>
          <w:trHeight w:val="20"/>
        </w:trPr>
        <w:tc>
          <w:tcPr>
            <w:tcW w:w="826" w:type="pct"/>
            <w:vMerge w:val="restart"/>
            <w:shd w:val="clear" w:color="auto" w:fill="auto"/>
          </w:tcPr>
          <w:p w:rsidR="00FA1F4E" w:rsidRDefault="003B2CFF">
            <w:pPr>
              <w:ind w:firstLine="0"/>
            </w:pPr>
            <w:r>
              <w:rPr>
                <w:sz w:val="22"/>
              </w:rPr>
              <w:t>Зона инженерной инфраструктуры</w:t>
            </w:r>
          </w:p>
        </w:tc>
        <w:tc>
          <w:tcPr>
            <w:tcW w:w="584" w:type="pct"/>
          </w:tcPr>
          <w:p w:rsidR="00FA1F4E" w:rsidRDefault="003B2CFF">
            <w:pPr>
              <w:ind w:firstLine="0"/>
              <w:jc w:val="center"/>
              <w:rPr>
                <w:sz w:val="22"/>
              </w:rPr>
            </w:pPr>
            <w:r>
              <w:rPr>
                <w:sz w:val="22"/>
              </w:rPr>
              <w:t>И</w:t>
            </w:r>
          </w:p>
          <w:p w:rsidR="00FA1F4E" w:rsidRDefault="00FA1F4E">
            <w:pPr>
              <w:ind w:firstLine="0"/>
              <w:jc w:val="center"/>
              <w:rPr>
                <w:sz w:val="22"/>
              </w:rPr>
            </w:pPr>
          </w:p>
          <w:p w:rsidR="00FA1F4E" w:rsidRDefault="00FA1F4E">
            <w:pPr>
              <w:ind w:firstLine="0"/>
              <w:jc w:val="center"/>
              <w:rPr>
                <w:sz w:val="22"/>
              </w:rPr>
            </w:pPr>
          </w:p>
          <w:p w:rsidR="00FA1F4E" w:rsidRDefault="00FA1F4E">
            <w:pPr>
              <w:ind w:firstLine="0"/>
              <w:jc w:val="center"/>
              <w:rPr>
                <w:sz w:val="22"/>
              </w:rPr>
            </w:pPr>
          </w:p>
          <w:p w:rsidR="00FA1F4E" w:rsidRDefault="00FA1F4E">
            <w:pPr>
              <w:ind w:firstLine="0"/>
              <w:jc w:val="center"/>
              <w:rPr>
                <w:sz w:val="22"/>
              </w:rPr>
            </w:pPr>
          </w:p>
        </w:tc>
        <w:tc>
          <w:tcPr>
            <w:tcW w:w="3590" w:type="pct"/>
            <w:vMerge w:val="restart"/>
            <w:shd w:val="clear" w:color="auto" w:fill="auto"/>
          </w:tcPr>
          <w:p w:rsidR="00FA1F4E" w:rsidRDefault="003B2CFF">
            <w:r>
              <w:rPr>
                <w:sz w:val="22"/>
              </w:rPr>
              <w:t>Зона, предназначенная преимущественно для размещения объектов инженерной инфраструктуры (электро-, тепло-, газо- и водоснабжения населения, водоотведения, связи), размещения объектов капитального строительства в целях обеспечения физических и юридических лиц коммунальными услугами, в том числе: котельных, канализационных очистных сооружений, а также обеспечения условий организации первого пояса зоны санитарной охраны источника водоснабжения с возможностью размещения объектов обеспечения деятельности в области гидрометеорологии и смежных с ней областях.</w:t>
            </w:r>
          </w:p>
          <w:p w:rsidR="00FA1F4E" w:rsidRDefault="003B2CFF">
            <w:pPr>
              <w:rPr>
                <w:sz w:val="22"/>
              </w:rPr>
            </w:pPr>
            <w:r>
              <w:rPr>
                <w:sz w:val="22"/>
              </w:rPr>
              <w:t>Данная функциональная зона установлена с учетом размещения объекта местного значения поселения: водоочистные сооружения (планируемые к реконструкции на земельных участках с кадастровыми номерами 47:06:0405001:405 и 47:06:0405001:406).</w:t>
            </w:r>
          </w:p>
          <w:p w:rsidR="00FA1F4E" w:rsidRDefault="003B2CFF">
            <w:pPr>
              <w:rPr>
                <w:sz w:val="22"/>
              </w:rPr>
            </w:pPr>
            <w:r>
              <w:rPr>
                <w:sz w:val="22"/>
              </w:rPr>
              <w:t>Для функциональной зоны инженерной инфраструктуры с кодом И1 описание функциональной зоны применяется с учетом примечания 1.</w:t>
            </w:r>
          </w:p>
        </w:tc>
      </w:tr>
      <w:tr w:rsidR="00FA1F4E">
        <w:trPr>
          <w:trHeight w:val="20"/>
        </w:trPr>
        <w:tc>
          <w:tcPr>
            <w:tcW w:w="826" w:type="pct"/>
            <w:vMerge/>
            <w:shd w:val="clear" w:color="auto" w:fill="auto"/>
          </w:tcPr>
          <w:p w:rsidR="00FA1F4E" w:rsidRDefault="00FA1F4E">
            <w:pPr>
              <w:ind w:firstLine="0"/>
              <w:rPr>
                <w:sz w:val="22"/>
              </w:rPr>
            </w:pPr>
          </w:p>
        </w:tc>
        <w:tc>
          <w:tcPr>
            <w:tcW w:w="584" w:type="pct"/>
          </w:tcPr>
          <w:p w:rsidR="00FA1F4E" w:rsidRDefault="003B2CFF">
            <w:pPr>
              <w:ind w:firstLine="0"/>
              <w:jc w:val="center"/>
              <w:rPr>
                <w:sz w:val="22"/>
              </w:rPr>
            </w:pPr>
            <w:r>
              <w:rPr>
                <w:sz w:val="22"/>
              </w:rPr>
              <w:t>И1</w:t>
            </w:r>
          </w:p>
        </w:tc>
        <w:tc>
          <w:tcPr>
            <w:tcW w:w="3590" w:type="pct"/>
            <w:vMerge/>
            <w:shd w:val="clear" w:color="auto" w:fill="auto"/>
          </w:tcPr>
          <w:p w:rsidR="00FA1F4E" w:rsidRDefault="00FA1F4E">
            <w:pPr>
              <w:rPr>
                <w:sz w:val="22"/>
              </w:rPr>
            </w:pPr>
          </w:p>
        </w:tc>
      </w:tr>
      <w:tr w:rsidR="00C874DA" w:rsidRPr="00C874DA">
        <w:trPr>
          <w:trHeight w:val="20"/>
        </w:trPr>
        <w:tc>
          <w:tcPr>
            <w:tcW w:w="826" w:type="pct"/>
            <w:vMerge w:val="restart"/>
            <w:shd w:val="clear" w:color="auto" w:fill="auto"/>
          </w:tcPr>
          <w:p w:rsidR="00FA1F4E" w:rsidRPr="00C874DA" w:rsidRDefault="003B2CFF">
            <w:pPr>
              <w:ind w:firstLine="0"/>
            </w:pPr>
            <w:r w:rsidRPr="00C874DA">
              <w:rPr>
                <w:sz w:val="22"/>
              </w:rPr>
              <w:t>Зона транспортной инфраструктуры</w:t>
            </w:r>
          </w:p>
        </w:tc>
        <w:tc>
          <w:tcPr>
            <w:tcW w:w="584" w:type="pct"/>
          </w:tcPr>
          <w:p w:rsidR="00FA1F4E" w:rsidRPr="00C874DA" w:rsidRDefault="003B2CFF">
            <w:pPr>
              <w:ind w:firstLine="0"/>
              <w:jc w:val="center"/>
              <w:rPr>
                <w:sz w:val="22"/>
              </w:rPr>
            </w:pPr>
            <w:r w:rsidRPr="00C874DA">
              <w:rPr>
                <w:sz w:val="22"/>
              </w:rPr>
              <w:t>Т</w:t>
            </w: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p w:rsidR="00FA1F4E" w:rsidRPr="00C874DA" w:rsidRDefault="00FA1F4E">
            <w:pPr>
              <w:ind w:firstLine="0"/>
              <w:jc w:val="center"/>
              <w:rPr>
                <w:sz w:val="22"/>
              </w:rPr>
            </w:pPr>
          </w:p>
        </w:tc>
        <w:tc>
          <w:tcPr>
            <w:tcW w:w="3590" w:type="pct"/>
            <w:vMerge w:val="restart"/>
            <w:shd w:val="clear" w:color="auto" w:fill="auto"/>
          </w:tcPr>
          <w:p w:rsidR="00FA1F4E" w:rsidRPr="00C874DA" w:rsidRDefault="003B2CFF">
            <w:r w:rsidRPr="00C874DA">
              <w:rPr>
                <w:sz w:val="22"/>
              </w:rPr>
              <w:t>Зона, предназначенная преимущественно для размещения объектов железнодорожного, речного и автомобильного транспорта, полос отвода железных дорог, причалов, автомобильных дорог, с возможностью размещения вспомогательных объектов и сооружений, в том числе автомобильных заправочных станций, станций технического обслуживания, а также для размещения объектов обеспечения внутреннего правопорядка, объектов дорожного хозяйства, гаражей и иных объектов транспортной инфраструктуры.</w:t>
            </w:r>
          </w:p>
          <w:p w:rsidR="00FA1F4E" w:rsidRPr="00C874DA" w:rsidRDefault="003B2CFF">
            <w:pPr>
              <w:rPr>
                <w:sz w:val="22"/>
              </w:rPr>
            </w:pPr>
            <w:r w:rsidRPr="00C874DA">
              <w:rPr>
                <w:sz w:val="22"/>
              </w:rPr>
              <w:t>Данная функциональная зона установлена с учетом размещения объекта местного значения муниципального района: автобусная станция.</w:t>
            </w:r>
          </w:p>
          <w:p w:rsidR="00FA1F4E" w:rsidRPr="00C874DA" w:rsidRDefault="003B2CFF">
            <w:pPr>
              <w:rPr>
                <w:sz w:val="22"/>
              </w:rPr>
            </w:pPr>
            <w:r w:rsidRPr="00C874DA">
              <w:rPr>
                <w:sz w:val="22"/>
              </w:rPr>
              <w:t>Для функциональной зоны транспортной инфраструктуры с кодом Т1 описание функциональной зоны применяется с учетом примечания 1.</w:t>
            </w:r>
          </w:p>
        </w:tc>
      </w:tr>
      <w:tr w:rsidR="00C874DA" w:rsidRPr="00C874DA">
        <w:trPr>
          <w:trHeight w:val="20"/>
        </w:trPr>
        <w:tc>
          <w:tcPr>
            <w:tcW w:w="826" w:type="pct"/>
            <w:vMerge/>
            <w:shd w:val="clear" w:color="auto" w:fill="auto"/>
          </w:tcPr>
          <w:p w:rsidR="00FA1F4E" w:rsidRPr="00C874DA" w:rsidRDefault="00FA1F4E">
            <w:pPr>
              <w:ind w:firstLine="0"/>
              <w:rPr>
                <w:sz w:val="22"/>
              </w:rPr>
            </w:pPr>
          </w:p>
        </w:tc>
        <w:tc>
          <w:tcPr>
            <w:tcW w:w="584" w:type="pct"/>
          </w:tcPr>
          <w:p w:rsidR="00FA1F4E" w:rsidRPr="00C874DA" w:rsidRDefault="003B2CFF">
            <w:pPr>
              <w:ind w:firstLine="0"/>
              <w:jc w:val="center"/>
              <w:rPr>
                <w:sz w:val="22"/>
              </w:rPr>
            </w:pPr>
            <w:r w:rsidRPr="00C874DA">
              <w:rPr>
                <w:sz w:val="22"/>
              </w:rPr>
              <w:t>Т1</w:t>
            </w:r>
          </w:p>
        </w:tc>
        <w:tc>
          <w:tcPr>
            <w:tcW w:w="3590" w:type="pct"/>
            <w:vMerge/>
            <w:shd w:val="clear" w:color="auto" w:fill="auto"/>
          </w:tcPr>
          <w:p w:rsidR="00FA1F4E" w:rsidRPr="00C874DA" w:rsidRDefault="00FA1F4E">
            <w:pPr>
              <w:rPr>
                <w:sz w:val="22"/>
              </w:rPr>
            </w:pPr>
          </w:p>
        </w:tc>
      </w:tr>
      <w:tr w:rsidR="00C874DA" w:rsidRPr="00C874DA">
        <w:trPr>
          <w:trHeight w:val="20"/>
        </w:trPr>
        <w:tc>
          <w:tcPr>
            <w:tcW w:w="826" w:type="pct"/>
            <w:vMerge w:val="restart"/>
            <w:shd w:val="clear" w:color="auto" w:fill="auto"/>
          </w:tcPr>
          <w:p w:rsidR="00FA1F4E" w:rsidRPr="00C874DA" w:rsidRDefault="003B2CFF">
            <w:pPr>
              <w:ind w:firstLine="0"/>
            </w:pPr>
            <w:r w:rsidRPr="00C874DA">
              <w:rPr>
                <w:sz w:val="22"/>
              </w:rPr>
              <w:t xml:space="preserve">Зона озелененных территорий общего пользования (лесопарки, парки, сады, скверы, </w:t>
            </w:r>
            <w:r w:rsidRPr="00C874DA">
              <w:rPr>
                <w:sz w:val="22"/>
              </w:rPr>
              <w:lastRenderedPageBreak/>
              <w:t>бульвары)</w:t>
            </w:r>
          </w:p>
        </w:tc>
        <w:tc>
          <w:tcPr>
            <w:tcW w:w="584" w:type="pct"/>
          </w:tcPr>
          <w:p w:rsidR="00FA1F4E" w:rsidRPr="00C874DA" w:rsidRDefault="003B2CFF">
            <w:pPr>
              <w:ind w:firstLine="0"/>
              <w:jc w:val="center"/>
              <w:rPr>
                <w:sz w:val="22"/>
              </w:rPr>
            </w:pPr>
            <w:r w:rsidRPr="00C874DA">
              <w:rPr>
                <w:sz w:val="22"/>
              </w:rPr>
              <w:lastRenderedPageBreak/>
              <w:t>Р1</w:t>
            </w:r>
          </w:p>
          <w:p w:rsidR="00FA1F4E" w:rsidRPr="00C874DA" w:rsidRDefault="00FA1F4E">
            <w:pPr>
              <w:ind w:firstLine="0"/>
              <w:jc w:val="center"/>
              <w:rPr>
                <w:sz w:val="22"/>
              </w:rPr>
            </w:pPr>
          </w:p>
          <w:p w:rsidR="00FA1F4E" w:rsidRPr="00C874DA" w:rsidRDefault="00FA1F4E">
            <w:pPr>
              <w:ind w:firstLine="0"/>
              <w:jc w:val="center"/>
              <w:rPr>
                <w:sz w:val="22"/>
              </w:rPr>
            </w:pPr>
          </w:p>
        </w:tc>
        <w:tc>
          <w:tcPr>
            <w:tcW w:w="3590" w:type="pct"/>
            <w:vMerge w:val="restart"/>
            <w:shd w:val="clear" w:color="auto" w:fill="auto"/>
          </w:tcPr>
          <w:p w:rsidR="00FA1F4E" w:rsidRPr="00C874DA" w:rsidRDefault="003B2CFF">
            <w:r w:rsidRPr="00C874DA">
              <w:rPr>
                <w:sz w:val="22"/>
              </w:rPr>
              <w:t>Зона установлена на территориях в границах населенных пунктов, в том числе включая территории береговых полос водных объектов, предназначена для размещения объектов озеленения общего пользования и сохранения природного ландшафта с возможностью размещения объектов благоустройства, объектов музейной деятельности, спортивных сооружений.</w:t>
            </w:r>
          </w:p>
          <w:p w:rsidR="00FA1F4E" w:rsidRPr="00C874DA" w:rsidRDefault="003B2CFF">
            <w:pPr>
              <w:rPr>
                <w:sz w:val="22"/>
              </w:rPr>
            </w:pPr>
            <w:r w:rsidRPr="00C874DA">
              <w:rPr>
                <w:sz w:val="22"/>
              </w:rPr>
              <w:t xml:space="preserve">Данная функциональная зона установлена с учетом размещения объекта местного значения </w:t>
            </w:r>
            <w:r w:rsidRPr="00C874DA">
              <w:rPr>
                <w:sz w:val="22"/>
              </w:rPr>
              <w:lastRenderedPageBreak/>
              <w:t>поселения: парк.</w:t>
            </w:r>
          </w:p>
          <w:p w:rsidR="00FA1F4E" w:rsidRPr="00C874DA" w:rsidRDefault="003B2CFF">
            <w:pPr>
              <w:rPr>
                <w:sz w:val="22"/>
              </w:rPr>
            </w:pPr>
            <w:r w:rsidRPr="00C874DA">
              <w:rPr>
                <w:sz w:val="22"/>
              </w:rPr>
              <w:t>Для функциональной зоны озелененных территорий общего пользования (лесопарки, парки, сады, скверы, бульвары) с кодом Р1.1 описание функциональной зоны применяется с учетом примечания 1.</w:t>
            </w:r>
          </w:p>
        </w:tc>
      </w:tr>
      <w:tr w:rsidR="00FA1F4E">
        <w:trPr>
          <w:trHeight w:val="20"/>
        </w:trPr>
        <w:tc>
          <w:tcPr>
            <w:tcW w:w="826" w:type="pct"/>
            <w:vMerge/>
            <w:shd w:val="clear" w:color="auto" w:fill="auto"/>
          </w:tcPr>
          <w:p w:rsidR="00FA1F4E" w:rsidRDefault="00FA1F4E">
            <w:pPr>
              <w:ind w:firstLine="0"/>
              <w:rPr>
                <w:sz w:val="22"/>
              </w:rPr>
            </w:pPr>
          </w:p>
        </w:tc>
        <w:tc>
          <w:tcPr>
            <w:tcW w:w="584" w:type="pct"/>
          </w:tcPr>
          <w:p w:rsidR="00FA1F4E" w:rsidRDefault="003B2CFF">
            <w:pPr>
              <w:ind w:firstLine="0"/>
              <w:jc w:val="center"/>
              <w:rPr>
                <w:sz w:val="22"/>
              </w:rPr>
            </w:pPr>
            <w:r>
              <w:rPr>
                <w:sz w:val="22"/>
              </w:rPr>
              <w:t>Р1.1</w:t>
            </w:r>
          </w:p>
        </w:tc>
        <w:tc>
          <w:tcPr>
            <w:tcW w:w="3590" w:type="pct"/>
            <w:vMerge/>
            <w:shd w:val="clear" w:color="auto" w:fill="auto"/>
          </w:tcPr>
          <w:p w:rsidR="00FA1F4E" w:rsidRDefault="00FA1F4E">
            <w:pPr>
              <w:rPr>
                <w:sz w:val="22"/>
              </w:rPr>
            </w:pPr>
          </w:p>
        </w:tc>
      </w:tr>
      <w:tr w:rsidR="00C874DA" w:rsidRPr="00C874DA">
        <w:trPr>
          <w:trHeight w:val="20"/>
        </w:trPr>
        <w:tc>
          <w:tcPr>
            <w:tcW w:w="826" w:type="pct"/>
            <w:shd w:val="clear" w:color="auto" w:fill="auto"/>
          </w:tcPr>
          <w:p w:rsidR="00FA1F4E" w:rsidRPr="00C874DA" w:rsidRDefault="003B2CFF">
            <w:pPr>
              <w:ind w:firstLine="0"/>
            </w:pPr>
            <w:r w:rsidRPr="00C874DA">
              <w:rPr>
                <w:sz w:val="22"/>
              </w:rPr>
              <w:lastRenderedPageBreak/>
              <w:t>Зона отдыха</w:t>
            </w:r>
          </w:p>
        </w:tc>
        <w:tc>
          <w:tcPr>
            <w:tcW w:w="584" w:type="pct"/>
          </w:tcPr>
          <w:p w:rsidR="00FA1F4E" w:rsidRPr="00C874DA" w:rsidRDefault="003B2CFF">
            <w:pPr>
              <w:ind w:firstLine="0"/>
              <w:jc w:val="center"/>
              <w:rPr>
                <w:sz w:val="22"/>
              </w:rPr>
            </w:pPr>
            <w:r w:rsidRPr="00C874DA">
              <w:rPr>
                <w:sz w:val="22"/>
              </w:rPr>
              <w:t>Р2</w:t>
            </w:r>
          </w:p>
        </w:tc>
        <w:tc>
          <w:tcPr>
            <w:tcW w:w="3590" w:type="pct"/>
            <w:shd w:val="clear" w:color="auto" w:fill="auto"/>
          </w:tcPr>
          <w:p w:rsidR="00FA1F4E" w:rsidRPr="00C874DA" w:rsidRDefault="003B2CFF">
            <w:pPr>
              <w:rPr>
                <w:sz w:val="22"/>
              </w:rPr>
            </w:pPr>
            <w:r w:rsidRPr="00C874DA">
              <w:rPr>
                <w:sz w:val="22"/>
              </w:rPr>
              <w:t>Зона, предназначенная преимущественно для размещения объектов отдыха, а также благоустройства мест массового отдыха населения, включая пляжи.</w:t>
            </w:r>
          </w:p>
          <w:p w:rsidR="00FA1F4E" w:rsidRPr="00C874DA" w:rsidRDefault="003B2CFF">
            <w:r w:rsidRPr="00C874DA">
              <w:rPr>
                <w:sz w:val="22"/>
              </w:rPr>
              <w:t>Данная функциональная зона установлена с учетом размещения объекта местного значения поселения: пляж.</w:t>
            </w:r>
          </w:p>
        </w:tc>
      </w:tr>
      <w:tr w:rsidR="00FA1F4E">
        <w:trPr>
          <w:trHeight w:val="20"/>
        </w:trPr>
        <w:tc>
          <w:tcPr>
            <w:tcW w:w="826" w:type="pct"/>
            <w:shd w:val="clear" w:color="auto" w:fill="auto"/>
          </w:tcPr>
          <w:p w:rsidR="00FA1F4E" w:rsidRDefault="003B2CFF">
            <w:pPr>
              <w:ind w:firstLine="0"/>
            </w:pPr>
            <w:r>
              <w:rPr>
                <w:sz w:val="22"/>
              </w:rPr>
              <w:t>Зона кладбищ</w:t>
            </w:r>
          </w:p>
        </w:tc>
        <w:tc>
          <w:tcPr>
            <w:tcW w:w="584" w:type="pct"/>
          </w:tcPr>
          <w:p w:rsidR="00FA1F4E" w:rsidRDefault="003B2CFF">
            <w:pPr>
              <w:ind w:firstLine="0"/>
              <w:jc w:val="center"/>
              <w:rPr>
                <w:sz w:val="22"/>
              </w:rPr>
            </w:pPr>
            <w:r>
              <w:rPr>
                <w:sz w:val="22"/>
              </w:rPr>
              <w:t>Сп1</w:t>
            </w:r>
          </w:p>
        </w:tc>
        <w:tc>
          <w:tcPr>
            <w:tcW w:w="3590" w:type="pct"/>
            <w:shd w:val="clear" w:color="auto" w:fill="auto"/>
          </w:tcPr>
          <w:p w:rsidR="00FA1F4E" w:rsidRDefault="003B2CFF">
            <w:r>
              <w:rPr>
                <w:sz w:val="22"/>
              </w:rPr>
              <w:t>Зона, предназначенная преимущественно для размещения гражданских и воинских захоронений с возможностью размещения вспомогательных объектов религиозного назначения и ритуальных услуг, а также парковочных мест для посетителей кладбищ.</w:t>
            </w:r>
          </w:p>
        </w:tc>
      </w:tr>
      <w:tr w:rsidR="00FA1F4E">
        <w:trPr>
          <w:trHeight w:val="20"/>
        </w:trPr>
        <w:tc>
          <w:tcPr>
            <w:tcW w:w="826" w:type="pct"/>
            <w:shd w:val="clear" w:color="auto" w:fill="auto"/>
          </w:tcPr>
          <w:p w:rsidR="00FA1F4E" w:rsidRDefault="003B2CFF">
            <w:pPr>
              <w:ind w:firstLine="0"/>
            </w:pPr>
            <w:r>
              <w:rPr>
                <w:sz w:val="22"/>
              </w:rPr>
              <w:t>Зона озелененных территорий специального назначения</w:t>
            </w:r>
          </w:p>
        </w:tc>
        <w:tc>
          <w:tcPr>
            <w:tcW w:w="584" w:type="pct"/>
          </w:tcPr>
          <w:p w:rsidR="00FA1F4E" w:rsidRDefault="003B2CFF">
            <w:pPr>
              <w:ind w:firstLine="0"/>
              <w:jc w:val="center"/>
              <w:rPr>
                <w:sz w:val="22"/>
              </w:rPr>
            </w:pPr>
            <w:r>
              <w:rPr>
                <w:sz w:val="22"/>
              </w:rPr>
              <w:t>Сп3</w:t>
            </w:r>
          </w:p>
        </w:tc>
        <w:tc>
          <w:tcPr>
            <w:tcW w:w="3590" w:type="pct"/>
            <w:shd w:val="clear" w:color="auto" w:fill="auto"/>
          </w:tcPr>
          <w:p w:rsidR="00FA1F4E" w:rsidRDefault="003B2CFF">
            <w:r>
              <w:rPr>
                <w:sz w:val="22"/>
              </w:rPr>
              <w:t>Зона установлена в границах населенных пунктов на территориях, расположенных в зонах с особыми условиями использования территорий (санитарно-защитная зона, охранная зона объектов инженерной инфраструктуры), на которых отсутствуют земельные участки в частной собственности, с целью ограничения возможности расширения участков в пределах зон с особыми условиями использования территорий и снижения негативного воздействия хозяйственной и иной деятельности на окружающую среду от предприятий, сооружений и иных объектов, групп объектов, являющихся источниками химического, физического, биологического воздействия на среду обитания и здоровье человека для сохранения благоприятных условий жизнедеятельности населения. Предназначена для размещения объектов озеленения специального назначения с ограниченной возможностью размещения объектов капитального строительства, проездов, автостоянок, гаражей, и иных, которые не противоречат режиму зоны с особыми условиями использования территории.</w:t>
            </w:r>
          </w:p>
        </w:tc>
      </w:tr>
    </w:tbl>
    <w:p w:rsidR="00FA1F4E" w:rsidRDefault="003B2CFF">
      <w:pPr>
        <w:rPr>
          <w:sz w:val="22"/>
        </w:rPr>
      </w:pPr>
      <w:r>
        <w:rPr>
          <w:rFonts w:cs="Times New Roman"/>
          <w:sz w:val="22"/>
        </w:rPr>
        <w:t>Примечание 1: Следующие ф</w:t>
      </w:r>
      <w:r>
        <w:rPr>
          <w:sz w:val="22"/>
        </w:rPr>
        <w:t>ункциональные зоны установлены в границах зоны с особыми условиями использования территории: запретная зона военного объекта - Хвойное лесничество Министерства обороны Российской Федерации (запретный район при военном складе), сведения о которой внесены в Единый государственный реестр недвижимости (реестровый номер 47.06.2.70):</w:t>
      </w:r>
    </w:p>
    <w:p w:rsidR="00FA1F4E" w:rsidRDefault="003B2CFF">
      <w:pPr>
        <w:pStyle w:val="afff"/>
        <w:numPr>
          <w:ilvl w:val="0"/>
          <w:numId w:val="38"/>
        </w:numPr>
        <w:rPr>
          <w:sz w:val="22"/>
        </w:rPr>
      </w:pPr>
      <w:r>
        <w:rPr>
          <w:sz w:val="22"/>
        </w:rPr>
        <w:t>зона застройки индивидуальными жилыми домами с кодом Ж1.1;</w:t>
      </w:r>
    </w:p>
    <w:p w:rsidR="00FA1F4E" w:rsidRDefault="003B2CFF">
      <w:pPr>
        <w:pStyle w:val="afff"/>
        <w:numPr>
          <w:ilvl w:val="0"/>
          <w:numId w:val="38"/>
        </w:numPr>
        <w:rPr>
          <w:sz w:val="22"/>
        </w:rPr>
      </w:pPr>
      <w:r>
        <w:rPr>
          <w:sz w:val="22"/>
        </w:rPr>
        <w:t>зона застройки среднеэтажными жилыми домами (от 5 до 8 этажей, включая мансардный) с кодом Ж3.1;</w:t>
      </w:r>
    </w:p>
    <w:p w:rsidR="00FA1F4E" w:rsidRDefault="003B2CFF">
      <w:pPr>
        <w:pStyle w:val="afff"/>
        <w:numPr>
          <w:ilvl w:val="0"/>
          <w:numId w:val="38"/>
        </w:numPr>
        <w:rPr>
          <w:sz w:val="22"/>
        </w:rPr>
      </w:pPr>
      <w:r>
        <w:rPr>
          <w:sz w:val="22"/>
        </w:rPr>
        <w:t>общественно-деловая зона с кодом О1.1;</w:t>
      </w:r>
    </w:p>
    <w:p w:rsidR="00FA1F4E" w:rsidRDefault="003B2CFF">
      <w:pPr>
        <w:pStyle w:val="afff"/>
        <w:numPr>
          <w:ilvl w:val="0"/>
          <w:numId w:val="38"/>
        </w:numPr>
        <w:rPr>
          <w:sz w:val="22"/>
        </w:rPr>
      </w:pPr>
      <w:r>
        <w:rPr>
          <w:sz w:val="22"/>
        </w:rPr>
        <w:t>производственная зона с кодом П1.1;</w:t>
      </w:r>
    </w:p>
    <w:p w:rsidR="00FA1F4E" w:rsidRDefault="003B2CFF">
      <w:pPr>
        <w:pStyle w:val="afff"/>
        <w:numPr>
          <w:ilvl w:val="0"/>
          <w:numId w:val="38"/>
        </w:numPr>
        <w:rPr>
          <w:sz w:val="22"/>
        </w:rPr>
      </w:pPr>
      <w:r>
        <w:rPr>
          <w:sz w:val="22"/>
        </w:rPr>
        <w:t>зона инженерной инфраструктуры с кодом И1;</w:t>
      </w:r>
    </w:p>
    <w:p w:rsidR="00FA1F4E" w:rsidRDefault="003B2CFF">
      <w:pPr>
        <w:pStyle w:val="afff"/>
        <w:numPr>
          <w:ilvl w:val="0"/>
          <w:numId w:val="38"/>
        </w:numPr>
        <w:rPr>
          <w:sz w:val="22"/>
        </w:rPr>
      </w:pPr>
      <w:r>
        <w:rPr>
          <w:sz w:val="22"/>
        </w:rPr>
        <w:t>зона транспортной инфраструктуры с кодом Т1;</w:t>
      </w:r>
    </w:p>
    <w:p w:rsidR="00FA1F4E" w:rsidRDefault="003B2CFF">
      <w:pPr>
        <w:pStyle w:val="afff"/>
        <w:numPr>
          <w:ilvl w:val="0"/>
          <w:numId w:val="38"/>
        </w:numPr>
        <w:rPr>
          <w:sz w:val="22"/>
        </w:rPr>
      </w:pPr>
      <w:r>
        <w:rPr>
          <w:sz w:val="22"/>
        </w:rPr>
        <w:t>зона озелененных территорий общего пользования (лесопарки, парки, сады, скверы, бульвары) с кодом Р1.1.</w:t>
      </w:r>
    </w:p>
    <w:p w:rsidR="00FA1F4E" w:rsidRDefault="003B2CFF">
      <w:pPr>
        <w:rPr>
          <w:rFonts w:cs="Times New Roman"/>
        </w:rPr>
      </w:pPr>
      <w:r>
        <w:rPr>
          <w:sz w:val="22"/>
          <w:shd w:val="clear" w:color="auto" w:fill="FFFFFF"/>
        </w:rPr>
        <w:t>Данные функциональные зоны с кодами Ж1.1, Ж3.1, О1.1, П1.1, И1, Т1 и Р1.1 установлены с целью соблюдения прав и законных интересов правообладателей земельных участков и объектов капитального строительства при условии, что до внесения изменений в границы запретной зоны военного объекта, сведения о которой внесены в ЕГРН, с учетом решения Арбитражного суда Санкт-Петербурга и Ленинградской области от 30.08.2018 по делу № А56-15966/2017 в соответствии с постановлением Правительства Российской Федерации от 5 мая 2014 года № 405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rsidR="00FA1F4E" w:rsidRDefault="00FA1F4E"/>
    <w:p w:rsidR="00FA1F4E" w:rsidRDefault="00FA1F4E">
      <w:pPr>
        <w:pStyle w:val="20"/>
        <w:sectPr w:rsidR="00FA1F4E">
          <w:pgSz w:w="16838" w:h="11906" w:orient="landscape"/>
          <w:pgMar w:top="1134" w:right="1134" w:bottom="567" w:left="1134" w:header="709" w:footer="709" w:gutter="0"/>
          <w:cols w:space="708"/>
          <w:titlePg/>
          <w:docGrid w:linePitch="360"/>
        </w:sectPr>
      </w:pPr>
    </w:p>
    <w:p w:rsidR="00FA1F4E" w:rsidRDefault="003B2CFF">
      <w:pPr>
        <w:pStyle w:val="1"/>
      </w:pPr>
      <w:bookmarkStart w:id="21" w:name="_Toc106831756"/>
      <w:r>
        <w:lastRenderedPageBreak/>
        <w:t>6. Обоснование выбранного варианта размещения объекта местного значения поселения в области водоснабжения населения, расположенного на земельных участках с кадастровыми номерами 47:06:0405001:405 и 47:06:0405001:406</w:t>
      </w:r>
      <w:bookmarkEnd w:id="21"/>
      <w:r>
        <w:t xml:space="preserve"> </w:t>
      </w:r>
    </w:p>
    <w:p w:rsidR="00FA1F4E" w:rsidRDefault="00FA1F4E"/>
    <w:p w:rsidR="00FA1F4E" w:rsidRDefault="003B2CFF">
      <w:r>
        <w:t xml:space="preserve">В соответствии с региональной программой Ленинградской области «Повышение качества водоснабжения в Ленинградской области» на период с 2019 по 2024 годы, утвержденной постановлением Правительства Ленинградской области от 15 июня 2020 года № 395, в целях реализации федерального проекта «Чистая вода» в рамках национального проекта «Жилье и городская среда» 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предусмотрены проектно-изыскательские и строительно-монтажные работы по объекту «Реконструкция водоочистных сооружений в г. Лодейное Поле Лодейнопольского муниципального района Ленинградской области». </w:t>
      </w:r>
    </w:p>
    <w:p w:rsidR="00FA1F4E" w:rsidRDefault="003B2CFF">
      <w:r>
        <w:t>Действующим генеральным планом реконструкция объекта местного значения не предусмотрена (рисунок 3).</w:t>
      </w:r>
    </w:p>
    <w:p w:rsidR="00FA1F4E" w:rsidRDefault="00FA1F4E">
      <w:pPr>
        <w:ind w:firstLine="0"/>
      </w:pPr>
    </w:p>
    <w:p w:rsidR="00FA1F4E" w:rsidRDefault="003B2CFF" w:rsidP="00C874DA">
      <w:pPr>
        <w:keepNext/>
        <w:ind w:firstLine="0"/>
        <w:jc w:val="center"/>
      </w:pPr>
      <w:r>
        <w:t>Рисунок 3. Фрагмент карты планируемого размещения объектов местного значения Лодейнопольского городского поселения, утвержденной в составе изменений в генеральный план Лодейнопольского городского поселения Лодейнопольского муниципального района Ленинградской области постановлением Правительства Ленинградской области от 3 декабря 2020 года № 794</w:t>
      </w:r>
    </w:p>
    <w:p w:rsidR="00FA1F4E" w:rsidRDefault="003B2CFF" w:rsidP="00C874DA">
      <w:pPr>
        <w:keepNext/>
        <w:ind w:firstLine="0"/>
        <w:jc w:val="center"/>
      </w:pPr>
      <w:r>
        <w:rPr>
          <w:noProof/>
          <w:lang w:eastAsia="ru-RU"/>
        </w:rPr>
        <w:drawing>
          <wp:inline distT="0" distB="0" distL="0" distR="0">
            <wp:extent cx="280035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1"/>
                    <a:stretch>
                      <a:fillRect/>
                    </a:stretch>
                  </pic:blipFill>
                  <pic:spPr>
                    <a:xfrm>
                      <a:off x="0" y="0"/>
                      <a:ext cx="2817455" cy="2070092"/>
                    </a:xfrm>
                    <a:prstGeom prst="rect">
                      <a:avLst/>
                    </a:prstGeom>
                  </pic:spPr>
                </pic:pic>
              </a:graphicData>
            </a:graphic>
          </wp:inline>
        </w:drawing>
      </w:r>
    </w:p>
    <w:p w:rsidR="00FA1F4E" w:rsidRDefault="00FA1F4E"/>
    <w:p w:rsidR="00FA1F4E" w:rsidRDefault="003B2CFF">
      <w:r>
        <w:t>В соответствии с частью 7 статьи 26 Градостроительного кодекса Российской Федерации в генеральный план Лодейнопольского городского поселения Лодейнопольского муниципального района Ленинградской области вносятся соответствующие изменения в части учета сведений о планируемом объекте местного значения поселения: водоочистные сооружения, планируемые к реконструкции.</w:t>
      </w:r>
    </w:p>
    <w:p w:rsidR="00FA1F4E" w:rsidRDefault="003B2CFF">
      <w:r>
        <w:t xml:space="preserve">Действующим генеральным планом Лодейнопольского городского поселения Лодейнопольского муниципального района Ленинградской области, утвержденным постановлением Правительства Ленинградской области от 3 декабря 2020 года № 794, земельные участки с кадастровыми номерами 47:06:0405001:405 и 47:06:0405001:406 включены в функциональную зону инженерной инфраструктуры. При этом, в связи с наличием зоны с особыми условиями использования территории (придорожная полоса) отсутствует возможность реализации данного мероприятия, включенного в региональную программу Ленинградской области «Повышение качества водоснабжения в Ленинградской области». В связи с тем, что земельные участки расположены в придорожной полосе автомобильной дороги общего пользования федерального значения Р-21 «Кола» Санкт-Петербург – Петрозаводск – Мурманск – Печенега – граница с Королевством Норвегия от ФКУ УПРДОР «Северо-Запад» получен отказ в выдаче согласия на реконструкцию объекта в соответствии с подпунктом 2 пункта 31 приказа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 </w:t>
      </w:r>
    </w:p>
    <w:p w:rsidR="00FA1F4E" w:rsidRDefault="003B2CFF">
      <w:r>
        <w:lastRenderedPageBreak/>
        <w:t>Для исключения земельных участков с кадастровыми номерами 47:06:0405001:405 и 47:06:0405001:406 из придорожной полосы с целью создания условий для реализации мероприятий по реконструкции водоочистных сооружений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 подготовке изменений в генеральный план предусмотрено их включение в границу города Лодейное Поле.</w:t>
      </w:r>
    </w:p>
    <w:p w:rsidR="00FA1F4E" w:rsidRDefault="00FA1F4E"/>
    <w:p w:rsidR="00FA1F4E" w:rsidRDefault="003B2CFF">
      <w:r>
        <w:t>Действующая система водоснабжения города Лодейное Поле находится в работоспособном состоянии и на сегодняшний день обеспечивает потребности жителей в воде по расходу, который составляет 3000 куб. м в сутки при проектной производительности существующих водоочистных сооружений 12000 куб. м в сутки. При этом, согласно протоколам испытаний, проведенных ГУП «Леноблводоканал» (аккредитованный центр лабораторного контроля качества воды, аттестат аккредитации № РОСС RU, 0001, ЮАС 12 от 24 октября 2014 года), качество питьевой воды, подаваемой в систему водоснабжения, не соответствует требованиям СанПиН 2.1.4.1074-01 по отдельным показателям.</w:t>
      </w:r>
    </w:p>
    <w:p w:rsidR="00FA1F4E" w:rsidRDefault="003B2CFF">
      <w:r>
        <w:t>Для обеспечения надежной работы всех элементов системы водоснабжения населения г. Лодейное Поле и улучшения качества водоподготовки требуется проведение работ по реконструкции водопроводных и водоочистных сооружений.</w:t>
      </w:r>
    </w:p>
    <w:p w:rsidR="00FA1F4E" w:rsidRDefault="003B2CFF">
      <w:r>
        <w:t>Строительные конструкции основных зданий и сооружений находятся в работоспособном или ограниченно работоспособном состоянии, но требуют реконструкции. Системы электроснабжения, электроосвещения, вентиляции, водопровода и канализации изношены и требуют полной замены. Технологическое оборудование водоочистной станции и насосных станций 1-го и 2-го подъемов, трубопроводы, арматура требуют 100-процентной замены.</w:t>
      </w:r>
    </w:p>
    <w:p w:rsidR="00FA1F4E" w:rsidRDefault="003B2CFF">
      <w:r>
        <w:t>Выбор местоположения планируемого к реконструкции объекта местного значения обусловлен фактическим расположением водозабора питьевого назначения города Лодейное Поле, источником которого является река Свирь. Изменение местоположения планируемого к реконструкции объекта и границ земельных участков не представляется возможным ввиду ограничения территории р. Свирь, железнодорожным мостом Октябрьской железной дороги и автомобильной дороги общего пользования федерального значения Р-21 «Кола». Рассматриваемые объекты являются технологической частью действующих водозаборных сооружений, расположенных на земельных участках с кадастровыми номерами 47:06:0405001:405 и 47:06:0405001:406.</w:t>
      </w:r>
    </w:p>
    <w:p w:rsidR="00FA1F4E" w:rsidRDefault="003B2CFF">
      <w:r>
        <w:t>Параметры планируемого к реконструкции объекта в соответствии со сведениями ГУП «Леноблводоканал» (письмо от 03.06.2022 № исх-20245/2022Лодейнопольский район):</w:t>
      </w:r>
    </w:p>
    <w:p w:rsidR="00FA1F4E" w:rsidRDefault="003B2CFF">
      <w:pPr>
        <w:pStyle w:val="afff"/>
        <w:numPr>
          <w:ilvl w:val="0"/>
          <w:numId w:val="39"/>
        </w:numPr>
      </w:pPr>
      <w:r>
        <w:t>проектная производительность очистных сооружений после реконструкции составит 7500 куб. м в сутки.</w:t>
      </w:r>
    </w:p>
    <w:p w:rsidR="00FA1F4E" w:rsidRDefault="003B2CFF">
      <w:r>
        <w:t>В соответствии с параметрами планируемых объектов водоочистных сооружений мероприятия по реконструкции планируется реализовать на существующих земельных участках, расширения территории не требуется.</w:t>
      </w:r>
    </w:p>
    <w:p w:rsidR="00FA1F4E" w:rsidRDefault="003B2CFF">
      <w:r>
        <w:t>В связи с реконструкцией объекта местного значения в области водоснабжения населения необходимо учитывать следующие зоны с особыми условиями использования территорий:</w:t>
      </w:r>
    </w:p>
    <w:p w:rsidR="00FA1F4E" w:rsidRDefault="003B2CFF">
      <w:pPr>
        <w:pStyle w:val="afff3"/>
        <w:numPr>
          <w:ilvl w:val="0"/>
          <w:numId w:val="40"/>
        </w:numPr>
        <w:spacing w:before="0" w:after="0"/>
      </w:pPr>
      <w:r>
        <w:t>В соответствии с пунктом 4.7 СП 31.13330.2012 «Водоснабжение. Наружные сети и сооружения» в проектах хозяйственно-питьевых водопроводов необходимо предусматривать зоны санитарной охраны (ЗСО) источников водоснабжения, водопроводных сооружений, насосных станций и водоводов. В соответствии с СанПиН 2.1.4.1110-02 «Зоны санитарной охраны источников водоснабжения и водопроводов питьевого назначения» устанавливаются зоны санитарной охраны источника водоснабжения - р. Свирь для водозаборных очистных сооружений города Лодейное Поле Ленинградской области, размеры зон санитарной охраны 1, 2 и 3 пояса в соответствии с санитарно-эпидемиологическим заключением № 47.10.04.000.Т.000038.07.10 от 29 июля 2010 года.</w:t>
      </w:r>
    </w:p>
    <w:p w:rsidR="00FA1F4E" w:rsidRDefault="003B2CFF">
      <w:pPr>
        <w:pStyle w:val="1"/>
      </w:pPr>
      <w:bookmarkStart w:id="22" w:name="_Toc106831757"/>
      <w:r>
        <w:lastRenderedPageBreak/>
        <w:t>7. Уточнение параметров планируемых объектов местного значения</w:t>
      </w:r>
      <w:bookmarkEnd w:id="22"/>
    </w:p>
    <w:p w:rsidR="00FA1F4E" w:rsidRDefault="00FA1F4E">
      <w:pPr>
        <w:rPr>
          <w:b/>
          <w:bCs/>
        </w:rPr>
      </w:pPr>
    </w:p>
    <w:p w:rsidR="00FA1F4E" w:rsidRDefault="003B2CFF">
      <w:pPr>
        <w:rPr>
          <w:bCs/>
        </w:rPr>
      </w:pPr>
      <w:r>
        <w:rPr>
          <w:bCs/>
        </w:rPr>
        <w:t>При подготовке изменений в генеральный план</w:t>
      </w:r>
      <w:r>
        <w:t xml:space="preserve"> </w:t>
      </w:r>
      <w:r>
        <w:rPr>
          <w:bCs/>
        </w:rPr>
        <w:t>Лодейнопольского городского поселения Лодейнопольского муниципального района Ленинградской области применительно к городу Лодейное Поле вносятся изменения в части уточнения сведений о планируемых объектах местного значения поселения с учетом сведений, предоставленных структурными подразделениями администрации Лодейнопольского муниципального района, а также в части полномочий местного значения поселения.</w:t>
      </w:r>
    </w:p>
    <w:p w:rsidR="00FA1F4E" w:rsidRDefault="003B2CFF">
      <w:pPr>
        <w:rPr>
          <w:bCs/>
        </w:rPr>
      </w:pPr>
      <w:r>
        <w:rPr>
          <w:bCs/>
        </w:rPr>
        <w:t>Параметры планируемых объектов местного значения в составе генерального плана определяются на основании прогноза численности населения на расчетный срок с учетом действующих нормативных документов:</w:t>
      </w:r>
    </w:p>
    <w:p w:rsidR="00FA1F4E" w:rsidRDefault="003B2CFF">
      <w:pPr>
        <w:numPr>
          <w:ilvl w:val="0"/>
          <w:numId w:val="41"/>
        </w:numPr>
      </w:pPr>
      <w:r>
        <w:t xml:space="preserve">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 83 (с изменениями). </w:t>
      </w:r>
    </w:p>
    <w:p w:rsidR="00FA1F4E" w:rsidRDefault="003B2CFF">
      <w:pPr>
        <w:numPr>
          <w:ilvl w:val="0"/>
          <w:numId w:val="41"/>
        </w:numPr>
      </w:pPr>
      <w:r>
        <w:t>Местные нормативы градостроительного проектирования, утвержденные постановлением Правительства Ленинградской области от 4 декабря 2017 года № 525 (с изменениями).</w:t>
      </w:r>
    </w:p>
    <w:p w:rsidR="00FA1F4E" w:rsidRDefault="003B2CFF">
      <w:pPr>
        <w:rPr>
          <w:rFonts w:cs="Times New Roman"/>
          <w:szCs w:val="24"/>
          <w:shd w:val="clear" w:color="auto" w:fill="FFFFFF"/>
        </w:rPr>
      </w:pPr>
      <w:r>
        <w:t xml:space="preserve">В соответствии с действующим генеральным планом </w:t>
      </w:r>
      <w:r>
        <w:rPr>
          <w:bCs/>
        </w:rPr>
        <w:t xml:space="preserve">прогноз численности населения </w:t>
      </w:r>
      <w:r>
        <w:rPr>
          <w:rFonts w:cs="Times New Roman"/>
          <w:szCs w:val="24"/>
          <w:shd w:val="clear" w:color="auto" w:fill="FFFFFF"/>
        </w:rPr>
        <w:t>Лодейнопольского городского поселения</w:t>
      </w:r>
      <w:r>
        <w:rPr>
          <w:bCs/>
        </w:rPr>
        <w:t xml:space="preserve"> на расчетный срок (2040 год) составляет 19,8 тыс. человек. Данный прогноз соответствует </w:t>
      </w:r>
      <w:r>
        <w:rPr>
          <w:rFonts w:cs="Times New Roman"/>
          <w:szCs w:val="24"/>
          <w:shd w:val="clear" w:color="auto" w:fill="FFFFFF"/>
        </w:rPr>
        <w:t>прогнозу численности населения Лодейнопольского городского поселения, который принят в качестве базового варианта в документах территориального планирования Ленинградской области на основании Стратегии социально-экономического развития Ленинградской области до 2030 года (вариант 2. Ускоренный рост).</w:t>
      </w:r>
    </w:p>
    <w:p w:rsidR="00FA1F4E" w:rsidRDefault="003B2CFF">
      <w:pPr>
        <w:rPr>
          <w:bCs/>
        </w:rPr>
      </w:pPr>
      <w:r>
        <w:t xml:space="preserve">Расчетный срок генерального плана Лодейнопольского городского поселения Лодейнопольского муниципального района Ленинградской области применительно к городу Лодейное Поле (новая редакция): 2045 год. С учетом общих тенденций демографического развития, прироста населения после 2040 года не прогнозируется (динамика численности населения Лодейнопольского муниципального района в соответствии со Стратегией социально-экономического развития Ленинградской области до 2030 года, утвержденной областным законом Ленинградской области от 8 августа 2016 года № 76-оз (в редакции областного закона Ленинградской области от 19 декабря 2019 года № 100-оз) характеризуется сохранением убыли населения). Генеральным планом принят прогноз численности населения для Лодейнопольского городского поселения на 2045 год на уровне 19,8 тыс. человек. </w:t>
      </w:r>
      <w:r>
        <w:rPr>
          <w:bCs/>
        </w:rPr>
        <w:t>Корректировка прогноза численности населения, принятого в действующем генеральном плане на расчетный срок, не требуется.</w:t>
      </w:r>
    </w:p>
    <w:p w:rsidR="00FA1F4E" w:rsidRDefault="003B2CFF">
      <w:pPr>
        <w:rPr>
          <w:bCs/>
        </w:rPr>
      </w:pPr>
      <w:r>
        <w:rPr>
          <w:bCs/>
        </w:rPr>
        <w:t>При подготовке изменений в генеральный план</w:t>
      </w:r>
      <w:r>
        <w:t xml:space="preserve"> </w:t>
      </w:r>
      <w:r>
        <w:rPr>
          <w:bCs/>
        </w:rPr>
        <w:t xml:space="preserve">Лодейнопольского городского поселения Лодейнопольского муниципального района Ленинградской области применительно к городу Лодейное Поле предложения по изменению прогноза численности населения и параметров жилищного строительства отсутствуют. </w:t>
      </w:r>
    </w:p>
    <w:p w:rsidR="00FA1F4E" w:rsidRDefault="00FA1F4E">
      <w:pPr>
        <w:rPr>
          <w:bCs/>
        </w:rPr>
      </w:pPr>
    </w:p>
    <w:p w:rsidR="00FA1F4E" w:rsidRDefault="003B2CFF">
      <w:pPr>
        <w:rPr>
          <w:b/>
          <w:bCs/>
        </w:rPr>
      </w:pPr>
      <w:r>
        <w:rPr>
          <w:b/>
          <w:bCs/>
        </w:rPr>
        <w:t>Создание условий для жилищного строительства</w:t>
      </w:r>
    </w:p>
    <w:p w:rsidR="00FA1F4E" w:rsidRDefault="003B2CFF">
      <w:pPr>
        <w:widowControl w:val="0"/>
        <w:autoSpaceDE w:val="0"/>
        <w:autoSpaceDN w:val="0"/>
        <w:adjustRightInd w:val="0"/>
        <w:rPr>
          <w:rFonts w:cs="Times New Roman"/>
          <w:szCs w:val="24"/>
          <w:lang w:eastAsia="ru-RU"/>
        </w:rPr>
      </w:pPr>
      <w:r>
        <w:rPr>
          <w:rFonts w:cs="Times New Roman"/>
          <w:szCs w:val="24"/>
          <w:lang w:eastAsia="ru-RU"/>
        </w:rPr>
        <w:t xml:space="preserve">В соответствии с действующим генеральным планом предусмотрено установление функциональных зон для </w:t>
      </w:r>
      <w:r>
        <w:rPr>
          <w:bCs/>
        </w:rPr>
        <w:t>создания условий нового жилищного строительства, в том числе:</w:t>
      </w:r>
    </w:p>
    <w:p w:rsidR="00FA1F4E" w:rsidRDefault="003B2CFF">
      <w:pPr>
        <w:pStyle w:val="afff"/>
        <w:widowControl w:val="0"/>
        <w:numPr>
          <w:ilvl w:val="0"/>
          <w:numId w:val="42"/>
        </w:numPr>
        <w:autoSpaceDE w:val="0"/>
        <w:autoSpaceDN w:val="0"/>
        <w:adjustRightInd w:val="0"/>
        <w:rPr>
          <w:rFonts w:cs="Times New Roman"/>
          <w:szCs w:val="24"/>
          <w:lang w:eastAsia="ru-RU"/>
        </w:rPr>
      </w:pPr>
      <w:r>
        <w:rPr>
          <w:rFonts w:cs="Times New Roman"/>
          <w:szCs w:val="24"/>
          <w:lang w:eastAsia="ru-RU"/>
        </w:rPr>
        <w:t>Строительство многоквартирных жилых домов в г. Лодейное Поле:</w:t>
      </w:r>
    </w:p>
    <w:p w:rsidR="00FA1F4E" w:rsidRDefault="003B2CFF">
      <w:pPr>
        <w:pStyle w:val="afff"/>
        <w:widowControl w:val="0"/>
        <w:numPr>
          <w:ilvl w:val="0"/>
          <w:numId w:val="43"/>
        </w:numPr>
        <w:autoSpaceDE w:val="0"/>
        <w:autoSpaceDN w:val="0"/>
        <w:adjustRightInd w:val="0"/>
        <w:rPr>
          <w:rFonts w:cs="Times New Roman"/>
          <w:szCs w:val="24"/>
          <w:lang w:eastAsia="ru-RU"/>
        </w:rPr>
      </w:pPr>
      <w:r>
        <w:rPr>
          <w:rFonts w:cs="Times New Roman"/>
          <w:szCs w:val="24"/>
          <w:lang w:eastAsia="ru-RU"/>
        </w:rPr>
        <w:t>строительство многоквартирных жилых домов в сложившихся зонах застройки малоэтажными жилыми домами по ул. Володарского, 15, по Октябрьскому пр., 71, пер. Связи, 5 и по пер. Односторонний, 3;</w:t>
      </w:r>
    </w:p>
    <w:p w:rsidR="00FA1F4E" w:rsidRDefault="003B2CFF">
      <w:pPr>
        <w:pStyle w:val="afff"/>
        <w:widowControl w:val="0"/>
        <w:numPr>
          <w:ilvl w:val="0"/>
          <w:numId w:val="43"/>
        </w:numPr>
        <w:autoSpaceDE w:val="0"/>
        <w:autoSpaceDN w:val="0"/>
        <w:adjustRightInd w:val="0"/>
        <w:rPr>
          <w:rFonts w:cs="Times New Roman"/>
          <w:szCs w:val="24"/>
          <w:lang w:eastAsia="ru-RU"/>
        </w:rPr>
      </w:pPr>
      <w:r>
        <w:rPr>
          <w:rFonts w:cs="Times New Roman"/>
          <w:szCs w:val="24"/>
          <w:lang w:eastAsia="ru-RU"/>
        </w:rPr>
        <w:t>строительство многоквартирных жилых домов в сложившихся зонах застройки среднеэтажными жилыми домами в квартале ул. Лесная – пр. Интернациональный – пр. Октябрьский – ул. Шмакова и по ул. Карла Маркса, 41.</w:t>
      </w:r>
    </w:p>
    <w:p w:rsidR="00FA1F4E" w:rsidRDefault="003B2CFF">
      <w:pPr>
        <w:pStyle w:val="afff"/>
        <w:widowControl w:val="0"/>
        <w:numPr>
          <w:ilvl w:val="0"/>
          <w:numId w:val="42"/>
        </w:numPr>
        <w:autoSpaceDE w:val="0"/>
        <w:autoSpaceDN w:val="0"/>
        <w:adjustRightInd w:val="0"/>
        <w:rPr>
          <w:rFonts w:cs="Times New Roman"/>
          <w:szCs w:val="24"/>
          <w:lang w:eastAsia="ru-RU"/>
        </w:rPr>
      </w:pPr>
      <w:r>
        <w:rPr>
          <w:rFonts w:cs="Times New Roman"/>
          <w:szCs w:val="24"/>
          <w:lang w:eastAsia="ru-RU"/>
        </w:rPr>
        <w:t>Формирование зон планируемой застройки индивидуальными жилыми домами общей площадью 34,94 га.</w:t>
      </w:r>
    </w:p>
    <w:p w:rsidR="00FA1F4E" w:rsidRDefault="003B2CFF">
      <w:pPr>
        <w:pStyle w:val="afff"/>
        <w:widowControl w:val="0"/>
        <w:numPr>
          <w:ilvl w:val="0"/>
          <w:numId w:val="42"/>
        </w:numPr>
        <w:autoSpaceDE w:val="0"/>
        <w:autoSpaceDN w:val="0"/>
        <w:adjustRightInd w:val="0"/>
        <w:rPr>
          <w:rFonts w:cs="Times New Roman"/>
          <w:szCs w:val="24"/>
          <w:lang w:eastAsia="ru-RU"/>
        </w:rPr>
      </w:pPr>
      <w:r>
        <w:rPr>
          <w:rFonts w:cs="Times New Roman"/>
          <w:szCs w:val="24"/>
          <w:lang w:eastAsia="ru-RU"/>
        </w:rPr>
        <w:lastRenderedPageBreak/>
        <w:t>В рамках реализации областного закона Ленинградской области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областного закона Ленинградской области от 17 июля 2018 года № 75-оз «О бесплатном предоставлении гражданам, имеющих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на территории города Лодейное Поле предусмотрено выделение территории площадью 9,77 га в микрорайоне «Каномский 1» и территории площадью 9,95 га в западной части г. Лодейное Поле (кадастровый квартал 47:06:0101002).</w:t>
      </w:r>
    </w:p>
    <w:p w:rsidR="00FA1F4E" w:rsidRDefault="003B2CFF">
      <w:pPr>
        <w:rPr>
          <w:rFonts w:eastAsia="Times New Roman" w:cs="Times New Roman"/>
          <w:lang w:eastAsia="ru-RU"/>
        </w:rPr>
      </w:pPr>
      <w:r>
        <w:rPr>
          <w:bCs/>
        </w:rPr>
        <w:t xml:space="preserve">В соответствии с предложением администрации Лодейнопольского муниципального района в границах города Лодейное Поле определены </w:t>
      </w:r>
      <w:r>
        <w:rPr>
          <w:rFonts w:eastAsia="Times New Roman" w:cs="Times New Roman"/>
          <w:lang w:eastAsia="ru-RU"/>
        </w:rPr>
        <w:t>функциональные зоны, в которых планируется выделение земельных участков для предоставления льготным категориям граждан в соответствии с областным законодательством, данные сведения отражены на картах:</w:t>
      </w:r>
    </w:p>
    <w:p w:rsidR="00FA1F4E" w:rsidRDefault="003B2CFF">
      <w:pPr>
        <w:numPr>
          <w:ilvl w:val="0"/>
          <w:numId w:val="41"/>
        </w:numPr>
      </w:pPr>
      <w:r>
        <w:t>Карта развития объектов транспортной инфраструктуры;</w:t>
      </w:r>
    </w:p>
    <w:p w:rsidR="00FA1F4E" w:rsidRDefault="003B2CFF">
      <w:pPr>
        <w:numPr>
          <w:ilvl w:val="0"/>
          <w:numId w:val="41"/>
        </w:numPr>
      </w:pPr>
      <w:r>
        <w:t>Карта развития объектов трубопроводного транспорта и инженерной инфраструктуры (объекты газоснабжения, теплоснабжения, электроснабжения);</w:t>
      </w:r>
    </w:p>
    <w:p w:rsidR="00FA1F4E" w:rsidRDefault="003B2CFF">
      <w:pPr>
        <w:numPr>
          <w:ilvl w:val="0"/>
          <w:numId w:val="41"/>
        </w:numPr>
      </w:pPr>
      <w:r>
        <w:t>Карта развития объектов инженерной инфраструктуры (объекты водоснабжения населения, водоотведения);</w:t>
      </w:r>
    </w:p>
    <w:p w:rsidR="00FA1F4E" w:rsidRDefault="003B2CFF">
      <w:pPr>
        <w:numPr>
          <w:ilvl w:val="0"/>
          <w:numId w:val="41"/>
        </w:numPr>
      </w:pPr>
      <w:r>
        <w:t>Карта развития объектов социальной инфраструктуры, объектов в иных областях в связи с решением вопросов местного значения, регионального значения.</w:t>
      </w:r>
    </w:p>
    <w:p w:rsidR="00FA1F4E" w:rsidRDefault="003B2CFF">
      <w:r>
        <w:t>В соответствии с частью 7 статьи 4 областного закона Ленинградской области от 17 июля 2018 года № 75-оз предоставление в соответствии с данным областным законом земельных участков в границах населенных пунктов допускается с учетом обеспечения их объектами транспортной инфраструктуры в соответствии с предусмотренными проектами планировки территории в границах указанных земельных участков параметрами планируемого строительства систем транспортного обслуживания, необходимого для развития данной территории.</w:t>
      </w:r>
    </w:p>
    <w:p w:rsidR="00FA1F4E" w:rsidRDefault="003B2CFF">
      <w:r>
        <w:t>В рамках создания условий для жилищного строительства генеральным планом предусмотрено развитие объектов местного значения с целью обеспечения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Сведения о параметрах данных объектов с учетом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 представлены в разделах 7.1 – 7.5.</w:t>
      </w:r>
    </w:p>
    <w:p w:rsidR="00FA1F4E" w:rsidRDefault="00FA1F4E"/>
    <w:p w:rsidR="00FA1F4E" w:rsidRDefault="003B2CFF">
      <w:pPr>
        <w:pStyle w:val="20"/>
      </w:pPr>
      <w:bookmarkStart w:id="23" w:name="_Toc106831758"/>
      <w:r>
        <w:t>7.1. Уточнение параметров планируемых объектов образования</w:t>
      </w:r>
      <w:bookmarkEnd w:id="23"/>
    </w:p>
    <w:p w:rsidR="00FA1F4E" w:rsidRDefault="00FA1F4E"/>
    <w:p w:rsidR="00FA1F4E" w:rsidRDefault="003B2CFF">
      <w:r>
        <w:t>Общеобразовательные школы и дошкольные образовательные организации являются объектами местного значения муниципального района и учитываются в соответствии со схемой территориального планирования Лодейнопольского муниципального района.</w:t>
      </w:r>
    </w:p>
    <w:p w:rsidR="00FA1F4E" w:rsidRDefault="003B2CFF">
      <w:r>
        <w:t>Сведения о планируемых объектах образования учтены в соответствии со схемой территориального планирования территориального планирования Лодейнопольского муниципального района Ленинградской области, в том числе:</w:t>
      </w:r>
    </w:p>
    <w:p w:rsidR="00FA1F4E" w:rsidRDefault="003B2CFF">
      <w:pPr>
        <w:pStyle w:val="afff"/>
        <w:numPr>
          <w:ilvl w:val="0"/>
          <w:numId w:val="44"/>
        </w:numPr>
      </w:pPr>
      <w:r>
        <w:t>строительство детского сада на 140 мест в г. Лодейное Поле;</w:t>
      </w:r>
    </w:p>
    <w:p w:rsidR="00FA1F4E" w:rsidRDefault="003B2CFF">
      <w:pPr>
        <w:pStyle w:val="afff"/>
        <w:numPr>
          <w:ilvl w:val="0"/>
          <w:numId w:val="44"/>
        </w:numPr>
      </w:pPr>
      <w:r>
        <w:t>реконструкция средней школы № 68 в г. Лодейное Поле.</w:t>
      </w:r>
    </w:p>
    <w:p w:rsidR="00FA1F4E" w:rsidRDefault="003B2CFF">
      <w:r>
        <w:lastRenderedPageBreak/>
        <w:t>Новый детский сад в соответствии со схемой территориального планирования Лодейнопольского муниципального района Ленинградской области был построен на земельном участке с кадастровым номером 47:06:0103003:1953.</w:t>
      </w:r>
    </w:p>
    <w:p w:rsidR="00FA1F4E" w:rsidRDefault="003B2CFF">
      <w:r>
        <w:t>В рамках государственной программы Ленинградской области «Современное образование в Ленинградской области» в 2022 году реализуется мероприятие в области образования «Реконструкция здания общеобразовательной школы № 68 в г. Лодейное Поле». В связи с тем, что данный объект учитывается как строящийся – сведения о нем исключаются из карты функциональных зон поселения.</w:t>
      </w:r>
    </w:p>
    <w:p w:rsidR="00FA1F4E" w:rsidRDefault="003B2CFF">
      <w:r>
        <w:t xml:space="preserve">Данные мероприятия с учетом программы комплексного развития социальной инфраструктуры Лодейнопольского городского поселения на 2017 - 2035 годы, утвержденной постановлением администрации муниципального образования Лодейнопольский муниципальный район от 27 ноября 2017 года № 1554, обеспечивают достижение расчетного уровня обеспеченности населения поселения объектами социальной инфраструктуры и доступность объектов для населения в соответствии с региональными нормативами градостроительного проектирования Ленинградской области. </w:t>
      </w:r>
    </w:p>
    <w:p w:rsidR="00FA1F4E" w:rsidRDefault="003B2CFF">
      <w:r>
        <w:t>В соответствии с местными нормативами градостроительного проектирования максимально допустимый уровень территориальной доступности для дошкольных образовательных организаций для городских населенных пунктов составляет от 400 м для среднеэтажной жилой застройки до 500 м для малоэтажной жилой застройки, для общеобразовательных организаций: 500 м. Дополнительно с учетом максимально допустимого уровня территориальной доступности территория обслуживается школьным автобусом.</w:t>
      </w:r>
    </w:p>
    <w:p w:rsidR="00FA1F4E" w:rsidRDefault="003B2CFF">
      <w:r>
        <w:t>Оценка нормативного минимально допустимого уровня обеспеченности объектами образования местного значения выполняется с учетом численности населения населенных пунктов Лодейнопольского городского поселения, включенных в зоны обслуживания общеобразовательных организаций, расположенных в г. Лодейное Поле. В связи с тем, что 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изменения в прогноз численности населения не вносятся, проектом не предусмотрено уточнение местоположения и параметров планируемых объектов в области образования.</w:t>
      </w:r>
    </w:p>
    <w:p w:rsidR="00FA1F4E" w:rsidRDefault="00FA1F4E"/>
    <w:p w:rsidR="00FA1F4E" w:rsidRDefault="003B2CFF">
      <w:pPr>
        <w:pStyle w:val="20"/>
      </w:pPr>
      <w:bookmarkStart w:id="24" w:name="_Toc106831759"/>
      <w:r>
        <w:t>7.2. Уточнение параметров планируемых объектов физической культуры и спорта</w:t>
      </w:r>
      <w:bookmarkEnd w:id="24"/>
    </w:p>
    <w:p w:rsidR="00FA1F4E" w:rsidRDefault="00FA1F4E"/>
    <w:p w:rsidR="00FA1F4E" w:rsidRDefault="003B2CFF">
      <w:r>
        <w:t>Сведения о существующих объектах физической культуры и спорта и оценка потребности планируемых параметров развития в соответствии с нормативами градостроительного проектирования представлены в таблицах 4 и 5.</w:t>
      </w:r>
    </w:p>
    <w:p w:rsidR="00FA1F4E" w:rsidRDefault="00FA1F4E">
      <w:pPr>
        <w:ind w:firstLine="0"/>
        <w:rPr>
          <w:rFonts w:cs="Times New Roman"/>
          <w:szCs w:val="24"/>
          <w:lang w:eastAsia="ru-RU"/>
        </w:rPr>
      </w:pPr>
    </w:p>
    <w:p w:rsidR="00FA1F4E" w:rsidRDefault="003B2CFF">
      <w:pPr>
        <w:ind w:firstLine="0"/>
        <w:jc w:val="center"/>
        <w:rPr>
          <w:rFonts w:cs="Times New Roman"/>
          <w:szCs w:val="24"/>
          <w:lang w:eastAsia="ru-RU"/>
        </w:rPr>
      </w:pPr>
      <w:r>
        <w:rPr>
          <w:rFonts w:cs="Times New Roman"/>
          <w:szCs w:val="24"/>
          <w:lang w:eastAsia="ru-RU"/>
        </w:rPr>
        <w:t>Таблица 4.</w:t>
      </w:r>
      <w:r>
        <w:t xml:space="preserve"> Сведения о существующих объектах физической культуры и спорта, расположенных в г. Лодейное поле</w:t>
      </w:r>
      <w:r>
        <w:rPr>
          <w:rFonts w:cs="Times New Roman"/>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885"/>
        <w:gridCol w:w="5002"/>
      </w:tblGrid>
      <w:tr w:rsidR="00FA1F4E">
        <w:trPr>
          <w:tblHeader/>
        </w:trPr>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w:t>
            </w:r>
          </w:p>
        </w:tc>
        <w:tc>
          <w:tcPr>
            <w:tcW w:w="4885"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Наименование объекта</w:t>
            </w:r>
          </w:p>
        </w:tc>
        <w:tc>
          <w:tcPr>
            <w:tcW w:w="5002"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Характеристика объекта</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Футбольное поле с беговой дорожкой (городской стадион)</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7488 м</w:t>
            </w:r>
            <w:r>
              <w:rPr>
                <w:rFonts w:cs="Times New Roman"/>
                <w:sz w:val="22"/>
                <w:vertAlign w:val="superscript"/>
              </w:rPr>
              <w:t>2</w:t>
            </w:r>
            <w:r>
              <w:rPr>
                <w:rFonts w:cs="Times New Roman"/>
                <w:sz w:val="22"/>
              </w:rPr>
              <w:t xml:space="preserve"> (104 х 72)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2</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МБУ «Лодейнопольский Дом народного творчества им. Ю.П. Захарова»</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300 м</w:t>
            </w:r>
            <w:r>
              <w:rPr>
                <w:rFonts w:cs="Times New Roman"/>
                <w:sz w:val="22"/>
                <w:vertAlign w:val="superscript"/>
              </w:rPr>
              <w:t>2</w:t>
            </w:r>
            <w:r>
              <w:rPr>
                <w:rFonts w:cs="Times New Roman"/>
                <w:sz w:val="22"/>
              </w:rPr>
              <w:t xml:space="preserve"> (25 х 12)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3</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офицерского клуба (дома офицеров) – подростковый клуб «Таллалихинец» филиал МБУ ДО «Лодейнопольский детский центр эстетического развития (детская школа искусств)»</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228 м</w:t>
            </w:r>
            <w:r>
              <w:rPr>
                <w:rFonts w:cs="Times New Roman"/>
                <w:sz w:val="22"/>
                <w:vertAlign w:val="superscript"/>
              </w:rPr>
              <w:t>2</w:t>
            </w:r>
            <w:r>
              <w:rPr>
                <w:rFonts w:cs="Times New Roman"/>
                <w:sz w:val="22"/>
              </w:rPr>
              <w:t xml:space="preserve"> (19 х 12)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4</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Футбольное поле с искусственным покрытием МАУ «Лодейнопольская СШ»</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5612 м</w:t>
            </w:r>
            <w:r>
              <w:rPr>
                <w:rFonts w:cs="Times New Roman"/>
                <w:sz w:val="22"/>
                <w:vertAlign w:val="superscript"/>
              </w:rPr>
              <w:t>2</w:t>
            </w:r>
            <w:r>
              <w:rPr>
                <w:rFonts w:cs="Times New Roman"/>
                <w:sz w:val="22"/>
              </w:rPr>
              <w:t xml:space="preserve"> (61 х 92)</w:t>
            </w:r>
          </w:p>
          <w:p w:rsidR="00FA1F4E" w:rsidRDefault="003B2CFF">
            <w:pPr>
              <w:tabs>
                <w:tab w:val="left" w:pos="1116"/>
              </w:tabs>
              <w:ind w:firstLine="0"/>
              <w:jc w:val="left"/>
              <w:rPr>
                <w:rFonts w:cs="Times New Roman"/>
                <w:sz w:val="22"/>
              </w:rPr>
            </w:pPr>
            <w:r>
              <w:rPr>
                <w:rFonts w:cs="Times New Roman"/>
                <w:sz w:val="22"/>
              </w:rPr>
              <w:t>Переносные трибуны – 120 чел.</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5</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Футбольный крытый манеж «Славатор» МАУ «Лодейнопольская СШ»</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здания – 933,6 м</w:t>
            </w:r>
            <w:r>
              <w:rPr>
                <w:rFonts w:cs="Times New Roman"/>
                <w:sz w:val="22"/>
                <w:vertAlign w:val="superscript"/>
              </w:rPr>
              <w:t>2</w:t>
            </w:r>
            <w:r>
              <w:rPr>
                <w:rFonts w:cs="Times New Roman"/>
                <w:sz w:val="22"/>
              </w:rPr>
              <w:t xml:space="preserve"> площадь мини–футбольного поля 978,6 м</w:t>
            </w:r>
            <w:r>
              <w:rPr>
                <w:rFonts w:cs="Times New Roman"/>
                <w:sz w:val="22"/>
                <w:vertAlign w:val="superscript"/>
              </w:rPr>
              <w:t>2</w:t>
            </w:r>
            <w:r>
              <w:rPr>
                <w:rFonts w:cs="Times New Roman"/>
                <w:sz w:val="22"/>
              </w:rPr>
              <w:t xml:space="preserve"> (40 х 18,7). </w:t>
            </w:r>
          </w:p>
          <w:p w:rsidR="00FA1F4E" w:rsidRDefault="003B2CFF">
            <w:pPr>
              <w:tabs>
                <w:tab w:val="left" w:pos="1116"/>
              </w:tabs>
              <w:ind w:firstLine="0"/>
              <w:jc w:val="left"/>
              <w:rPr>
                <w:rFonts w:cs="Times New Roman"/>
                <w:sz w:val="22"/>
              </w:rPr>
            </w:pPr>
            <w:r>
              <w:rPr>
                <w:rFonts w:cs="Times New Roman"/>
                <w:sz w:val="22"/>
              </w:rPr>
              <w:lastRenderedPageBreak/>
              <w:t>Трибуны – 150 мест.</w:t>
            </w:r>
          </w:p>
          <w:p w:rsidR="00FA1F4E" w:rsidRDefault="003B2CFF">
            <w:pPr>
              <w:tabs>
                <w:tab w:val="left" w:pos="1116"/>
              </w:tabs>
              <w:ind w:firstLine="0"/>
              <w:jc w:val="left"/>
              <w:rPr>
                <w:rFonts w:cs="Times New Roman"/>
                <w:sz w:val="22"/>
              </w:rPr>
            </w:pPr>
            <w:r>
              <w:rPr>
                <w:rFonts w:cs="Times New Roman"/>
                <w:sz w:val="22"/>
              </w:rPr>
              <w:t>Административное здание с раздевалками, спальными местами на 42 человека для участников соревнований, тренажерным залом.</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lastRenderedPageBreak/>
              <w:t>6</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 xml:space="preserve">Крытая хоккейная площадка с </w:t>
            </w:r>
          </w:p>
          <w:p w:rsidR="00FA1F4E" w:rsidRDefault="003B2CFF">
            <w:pPr>
              <w:tabs>
                <w:tab w:val="left" w:pos="1116"/>
              </w:tabs>
              <w:ind w:firstLine="0"/>
              <w:jc w:val="left"/>
              <w:rPr>
                <w:rFonts w:cs="Times New Roman"/>
                <w:sz w:val="22"/>
              </w:rPr>
            </w:pPr>
            <w:r>
              <w:rPr>
                <w:rFonts w:cs="Times New Roman"/>
                <w:sz w:val="22"/>
              </w:rPr>
              <w:t>искусственным льдом – ледовая арена «Форвард», МАУ «Лодейнопольская СШ»</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застройки – 2828 м</w:t>
            </w:r>
            <w:r>
              <w:rPr>
                <w:rFonts w:cs="Times New Roman"/>
                <w:sz w:val="22"/>
                <w:vertAlign w:val="superscript"/>
              </w:rPr>
              <w:t>2</w:t>
            </w:r>
          </w:p>
          <w:p w:rsidR="00FA1F4E" w:rsidRDefault="003B2CFF">
            <w:pPr>
              <w:tabs>
                <w:tab w:val="left" w:pos="1116"/>
              </w:tabs>
              <w:ind w:firstLine="0"/>
              <w:jc w:val="left"/>
              <w:rPr>
                <w:rFonts w:cs="Times New Roman"/>
                <w:sz w:val="22"/>
              </w:rPr>
            </w:pPr>
            <w:r>
              <w:rPr>
                <w:rFonts w:cs="Times New Roman"/>
                <w:sz w:val="22"/>
              </w:rPr>
              <w:t>Площадь хоккейной площадки 1624 м</w:t>
            </w:r>
            <w:r>
              <w:rPr>
                <w:rFonts w:cs="Times New Roman"/>
                <w:sz w:val="22"/>
                <w:vertAlign w:val="superscript"/>
              </w:rPr>
              <w:t>2</w:t>
            </w:r>
            <w:r>
              <w:rPr>
                <w:rFonts w:cs="Times New Roman"/>
                <w:sz w:val="22"/>
              </w:rPr>
              <w:t xml:space="preserve"> (28 х 58), Трибуны – 124 чел. Административная часть с кабинетами руководящего, технического, обслуживающего и тренерского состава, раздевалками, душевыми, туалетами, сушилками, медицинским кабинетом.</w:t>
            </w:r>
          </w:p>
          <w:p w:rsidR="00FA1F4E" w:rsidRDefault="003B2CFF">
            <w:pPr>
              <w:tabs>
                <w:tab w:val="left" w:pos="1116"/>
              </w:tabs>
              <w:ind w:firstLine="0"/>
              <w:jc w:val="left"/>
              <w:rPr>
                <w:rFonts w:cs="Times New Roman"/>
                <w:sz w:val="22"/>
              </w:rPr>
            </w:pPr>
            <w:r>
              <w:rPr>
                <w:rFonts w:cs="Times New Roman"/>
                <w:sz w:val="22"/>
              </w:rPr>
              <w:t xml:space="preserve"> Бокс для заливочных машин, помещение водоподготовки, холодильная установка.</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7</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Лыжная база «Озерко» с освещенной трассой 1800 м</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здания 88,14 м</w:t>
            </w:r>
            <w:r>
              <w:rPr>
                <w:rFonts w:cs="Times New Roman"/>
                <w:sz w:val="22"/>
                <w:vertAlign w:val="superscript"/>
              </w:rPr>
              <w:t>2</w:t>
            </w:r>
            <w:r>
              <w:rPr>
                <w:rFonts w:cs="Times New Roman"/>
                <w:sz w:val="22"/>
              </w:rPr>
              <w:t>, с подвальным помещением, прокатом лыжного инвентаря, сервисной, раздевалками, душевыми кабинками, туалетом, административным кабинетом, тренерской. Лыжная трасса длиной 1600 м.</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8</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Бассейн МАУ ФОК «Штандарт»</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здания 1318,4 м</w:t>
            </w:r>
            <w:r>
              <w:rPr>
                <w:rFonts w:cs="Times New Roman"/>
                <w:sz w:val="22"/>
                <w:vertAlign w:val="superscript"/>
              </w:rPr>
              <w:t>2</w:t>
            </w:r>
            <w:r>
              <w:rPr>
                <w:rFonts w:cs="Times New Roman"/>
                <w:sz w:val="22"/>
              </w:rPr>
              <w:t>.</w:t>
            </w:r>
          </w:p>
          <w:p w:rsidR="00FA1F4E" w:rsidRDefault="003B2CFF">
            <w:pPr>
              <w:tabs>
                <w:tab w:val="left" w:pos="1116"/>
              </w:tabs>
              <w:ind w:firstLine="0"/>
              <w:jc w:val="left"/>
              <w:rPr>
                <w:rFonts w:cs="Times New Roman"/>
                <w:sz w:val="22"/>
              </w:rPr>
            </w:pPr>
            <w:r>
              <w:rPr>
                <w:rFonts w:cs="Times New Roman"/>
                <w:sz w:val="22"/>
              </w:rPr>
              <w:t>Административная часть с кабинетами руководящего и технического персонала, душевыми кабинками, туалетами, системой водоподготовки.</w:t>
            </w:r>
          </w:p>
          <w:p w:rsidR="00FA1F4E" w:rsidRDefault="003B2CFF">
            <w:pPr>
              <w:tabs>
                <w:tab w:val="left" w:pos="1116"/>
              </w:tabs>
              <w:ind w:firstLine="0"/>
              <w:jc w:val="left"/>
              <w:rPr>
                <w:rFonts w:cs="Times New Roman"/>
                <w:sz w:val="22"/>
              </w:rPr>
            </w:pPr>
            <w:r>
              <w:rPr>
                <w:rFonts w:cs="Times New Roman"/>
                <w:sz w:val="22"/>
              </w:rPr>
              <w:t>2 ванны, площадь зеркала воды 272,5 м</w:t>
            </w:r>
            <w:r>
              <w:rPr>
                <w:rFonts w:cs="Times New Roman"/>
                <w:sz w:val="22"/>
                <w:vertAlign w:val="superscript"/>
              </w:rPr>
              <w:t>2</w:t>
            </w:r>
            <w:r>
              <w:rPr>
                <w:rFonts w:cs="Times New Roman"/>
                <w:sz w:val="22"/>
              </w:rPr>
              <w:t>:</w:t>
            </w:r>
          </w:p>
          <w:p w:rsidR="00FA1F4E" w:rsidRDefault="003B2CFF">
            <w:pPr>
              <w:tabs>
                <w:tab w:val="left" w:pos="1116"/>
              </w:tabs>
              <w:ind w:firstLine="0"/>
              <w:jc w:val="left"/>
              <w:rPr>
                <w:rFonts w:cs="Times New Roman"/>
                <w:sz w:val="22"/>
              </w:rPr>
            </w:pPr>
            <w:r>
              <w:rPr>
                <w:rFonts w:cs="Times New Roman"/>
                <w:sz w:val="22"/>
              </w:rPr>
              <w:t>Большая ванна 212,5 м</w:t>
            </w:r>
            <w:r>
              <w:rPr>
                <w:rFonts w:cs="Times New Roman"/>
                <w:sz w:val="22"/>
                <w:vertAlign w:val="superscript"/>
              </w:rPr>
              <w:t xml:space="preserve">2 </w:t>
            </w:r>
            <w:r>
              <w:rPr>
                <w:rFonts w:cs="Times New Roman"/>
                <w:sz w:val="22"/>
              </w:rPr>
              <w:t>(25 х 8,5)</w:t>
            </w:r>
          </w:p>
          <w:p w:rsidR="00FA1F4E" w:rsidRDefault="003B2CFF">
            <w:pPr>
              <w:tabs>
                <w:tab w:val="left" w:pos="1116"/>
              </w:tabs>
              <w:ind w:firstLine="0"/>
              <w:jc w:val="left"/>
              <w:rPr>
                <w:rFonts w:cs="Times New Roman"/>
                <w:sz w:val="22"/>
              </w:rPr>
            </w:pPr>
            <w:r>
              <w:rPr>
                <w:rFonts w:cs="Times New Roman"/>
                <w:sz w:val="22"/>
              </w:rPr>
              <w:t>Малая ванна 60 м</w:t>
            </w:r>
            <w:r>
              <w:rPr>
                <w:rFonts w:cs="Times New Roman"/>
                <w:sz w:val="22"/>
                <w:vertAlign w:val="superscript"/>
              </w:rPr>
              <w:t>2</w:t>
            </w:r>
            <w:r>
              <w:rPr>
                <w:rFonts w:cs="Times New Roman"/>
                <w:sz w:val="22"/>
              </w:rPr>
              <w:t xml:space="preserve"> (10 х 6)</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9</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МКОУ «Лодейнопольская основная общеобразовательная школа № 1»</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150,6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10</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МКОУ «Лодейнопольская средняя общеобразовательная школа № 2 с углубленным изучением отдельных предметов»</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270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11</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 xml:space="preserve">Спортивный зал № 1 МКОУ «Лодейнопольская средняя общеобразовательная школа №3 им. Героев Свири» </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292,3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12</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 2 МКОУ «Лодейнопольская средняя общеобразовательная школа №3 им. Героев Свири»</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289,7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13</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МКОУ «Лодейнопольская средняя общеобразовательная школа № 68</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371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14</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МКОУ «Лодейнопольская начальная общеобразовательная школа»</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273,2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15</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Спортивный зал ГБПОУ ЛО «Лодейнопольский техникум промышленных технологий»</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Площадь 228 м</w:t>
            </w:r>
            <w:r>
              <w:rPr>
                <w:rFonts w:cs="Times New Roman"/>
                <w:sz w:val="22"/>
                <w:vertAlign w:val="superscript"/>
              </w:rPr>
              <w:t>2</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16</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Универсальная пришкольная спортивная площадка с искусственным покрытием у МКОУ «Лодейнопольская основная общеобразовательная школа № 1»</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Общая площадь 2664 м</w:t>
            </w:r>
            <w:r>
              <w:rPr>
                <w:rFonts w:cs="Times New Roman"/>
                <w:sz w:val="22"/>
                <w:vertAlign w:val="superscript"/>
              </w:rPr>
              <w:t>2</w:t>
            </w:r>
            <w:r>
              <w:rPr>
                <w:rFonts w:cs="Times New Roman"/>
                <w:sz w:val="22"/>
              </w:rPr>
              <w:t xml:space="preserve"> (72 х 37)</w:t>
            </w:r>
          </w:p>
          <w:p w:rsidR="00FA1F4E" w:rsidRDefault="003B2CFF">
            <w:pPr>
              <w:tabs>
                <w:tab w:val="left" w:pos="1116"/>
              </w:tabs>
              <w:ind w:firstLine="0"/>
              <w:jc w:val="left"/>
              <w:rPr>
                <w:rFonts w:cs="Times New Roman"/>
                <w:sz w:val="22"/>
              </w:rPr>
            </w:pPr>
            <w:r>
              <w:rPr>
                <w:rFonts w:cs="Times New Roman"/>
                <w:sz w:val="22"/>
              </w:rPr>
              <w:t>Площадь футбольного поля 960 м</w:t>
            </w:r>
            <w:r>
              <w:rPr>
                <w:rFonts w:cs="Times New Roman"/>
                <w:sz w:val="22"/>
                <w:vertAlign w:val="superscript"/>
              </w:rPr>
              <w:t>2</w:t>
            </w:r>
            <w:r>
              <w:rPr>
                <w:rFonts w:cs="Times New Roman"/>
                <w:sz w:val="22"/>
              </w:rPr>
              <w:t xml:space="preserve"> (40 х2 4)</w:t>
            </w:r>
          </w:p>
          <w:p w:rsidR="00FA1F4E" w:rsidRDefault="003B2CFF">
            <w:pPr>
              <w:tabs>
                <w:tab w:val="left" w:pos="1116"/>
              </w:tabs>
              <w:ind w:firstLine="0"/>
              <w:jc w:val="left"/>
              <w:rPr>
                <w:rFonts w:cs="Times New Roman"/>
                <w:sz w:val="22"/>
              </w:rPr>
            </w:pPr>
            <w:r>
              <w:rPr>
                <w:rFonts w:cs="Times New Roman"/>
                <w:sz w:val="22"/>
              </w:rPr>
              <w:t>Площадь волейбольного поля 162 м</w:t>
            </w:r>
            <w:r>
              <w:rPr>
                <w:rFonts w:cs="Times New Roman"/>
                <w:sz w:val="22"/>
                <w:vertAlign w:val="superscript"/>
              </w:rPr>
              <w:t>2</w:t>
            </w:r>
            <w:r>
              <w:rPr>
                <w:rFonts w:cs="Times New Roman"/>
                <w:sz w:val="22"/>
              </w:rPr>
              <w:t xml:space="preserve"> (9 х 18)</w:t>
            </w:r>
          </w:p>
          <w:p w:rsidR="00FA1F4E" w:rsidRDefault="003B2CFF">
            <w:pPr>
              <w:tabs>
                <w:tab w:val="left" w:pos="1116"/>
              </w:tabs>
              <w:ind w:firstLine="0"/>
              <w:jc w:val="left"/>
              <w:rPr>
                <w:rFonts w:cs="Times New Roman"/>
                <w:sz w:val="22"/>
              </w:rPr>
            </w:pPr>
            <w:r>
              <w:rPr>
                <w:rFonts w:cs="Times New Roman"/>
                <w:sz w:val="22"/>
              </w:rPr>
              <w:t>Площадь баскетбольного поля 120 м</w:t>
            </w:r>
            <w:r>
              <w:rPr>
                <w:rFonts w:cs="Times New Roman"/>
                <w:sz w:val="22"/>
                <w:vertAlign w:val="superscript"/>
              </w:rPr>
              <w:t>2</w:t>
            </w:r>
            <w:r>
              <w:rPr>
                <w:rFonts w:cs="Times New Roman"/>
                <w:sz w:val="22"/>
              </w:rPr>
              <w:t xml:space="preserve"> (8 х 15)</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17</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Универсальная пришкольная спортивная площадка с искусственным покрытием у МКОУ «Лодейнопольская средняя общеобразовательная школа № 2 с углубленным изучением отдельных предметов»</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t>Общая площадь 2664 м</w:t>
            </w:r>
            <w:r>
              <w:rPr>
                <w:rFonts w:cs="Times New Roman"/>
                <w:sz w:val="22"/>
                <w:vertAlign w:val="superscript"/>
              </w:rPr>
              <w:t>2</w:t>
            </w:r>
            <w:r>
              <w:rPr>
                <w:rFonts w:cs="Times New Roman"/>
                <w:sz w:val="22"/>
              </w:rPr>
              <w:t xml:space="preserve"> (72 х 37)</w:t>
            </w:r>
          </w:p>
          <w:p w:rsidR="00FA1F4E" w:rsidRDefault="003B2CFF">
            <w:pPr>
              <w:tabs>
                <w:tab w:val="left" w:pos="1116"/>
              </w:tabs>
              <w:ind w:firstLine="0"/>
              <w:jc w:val="left"/>
              <w:rPr>
                <w:rFonts w:cs="Times New Roman"/>
                <w:sz w:val="22"/>
              </w:rPr>
            </w:pPr>
            <w:r>
              <w:rPr>
                <w:rFonts w:cs="Times New Roman"/>
                <w:sz w:val="22"/>
              </w:rPr>
              <w:t>Площадь футбольного поля 960 м</w:t>
            </w:r>
            <w:r>
              <w:rPr>
                <w:rFonts w:cs="Times New Roman"/>
                <w:sz w:val="22"/>
                <w:vertAlign w:val="superscript"/>
              </w:rPr>
              <w:t>2</w:t>
            </w:r>
            <w:r>
              <w:rPr>
                <w:rFonts w:cs="Times New Roman"/>
                <w:sz w:val="22"/>
              </w:rPr>
              <w:t xml:space="preserve"> (40 х 24)</w:t>
            </w:r>
          </w:p>
          <w:p w:rsidR="00FA1F4E" w:rsidRDefault="003B2CFF">
            <w:pPr>
              <w:tabs>
                <w:tab w:val="left" w:pos="1116"/>
              </w:tabs>
              <w:ind w:firstLine="0"/>
              <w:jc w:val="left"/>
              <w:rPr>
                <w:rFonts w:cs="Times New Roman"/>
                <w:sz w:val="22"/>
              </w:rPr>
            </w:pPr>
            <w:r>
              <w:rPr>
                <w:rFonts w:cs="Times New Roman"/>
                <w:sz w:val="22"/>
              </w:rPr>
              <w:t>Площадь волейбольного поля 162 м</w:t>
            </w:r>
            <w:r>
              <w:rPr>
                <w:rFonts w:cs="Times New Roman"/>
                <w:sz w:val="22"/>
                <w:vertAlign w:val="superscript"/>
              </w:rPr>
              <w:t>2</w:t>
            </w:r>
            <w:r>
              <w:rPr>
                <w:rFonts w:cs="Times New Roman"/>
                <w:sz w:val="22"/>
              </w:rPr>
              <w:t xml:space="preserve"> (9 х 18)</w:t>
            </w:r>
          </w:p>
          <w:p w:rsidR="00FA1F4E" w:rsidRDefault="003B2CFF">
            <w:pPr>
              <w:tabs>
                <w:tab w:val="left" w:pos="1116"/>
              </w:tabs>
              <w:ind w:firstLine="0"/>
              <w:jc w:val="left"/>
              <w:rPr>
                <w:rFonts w:cs="Times New Roman"/>
                <w:sz w:val="22"/>
              </w:rPr>
            </w:pPr>
            <w:r>
              <w:rPr>
                <w:rFonts w:cs="Times New Roman"/>
                <w:sz w:val="22"/>
              </w:rPr>
              <w:t>Площадь баскетбольного поля 120 м</w:t>
            </w:r>
            <w:r>
              <w:rPr>
                <w:rFonts w:cs="Times New Roman"/>
                <w:sz w:val="22"/>
                <w:vertAlign w:val="superscript"/>
              </w:rPr>
              <w:t>2</w:t>
            </w:r>
            <w:r>
              <w:rPr>
                <w:rFonts w:cs="Times New Roman"/>
                <w:sz w:val="22"/>
              </w:rPr>
              <w:t xml:space="preserve"> (8 х 15)</w:t>
            </w:r>
          </w:p>
        </w:tc>
      </w:tr>
      <w:tr w:rsidR="00FA1F4E">
        <w:tc>
          <w:tcPr>
            <w:tcW w:w="534" w:type="dxa"/>
            <w:shd w:val="clear" w:color="auto" w:fill="auto"/>
            <w:vAlign w:val="center"/>
          </w:tcPr>
          <w:p w:rsidR="00FA1F4E" w:rsidRDefault="003B2CFF">
            <w:pPr>
              <w:tabs>
                <w:tab w:val="left" w:pos="1116"/>
              </w:tabs>
              <w:ind w:firstLine="0"/>
              <w:jc w:val="center"/>
              <w:rPr>
                <w:rFonts w:cs="Times New Roman"/>
                <w:sz w:val="22"/>
              </w:rPr>
            </w:pPr>
            <w:r>
              <w:rPr>
                <w:rFonts w:cs="Times New Roman"/>
                <w:sz w:val="22"/>
              </w:rPr>
              <w:t>18</w:t>
            </w:r>
          </w:p>
        </w:tc>
        <w:tc>
          <w:tcPr>
            <w:tcW w:w="4885" w:type="dxa"/>
            <w:shd w:val="clear" w:color="auto" w:fill="auto"/>
          </w:tcPr>
          <w:p w:rsidR="00FA1F4E" w:rsidRDefault="003B2CFF">
            <w:pPr>
              <w:tabs>
                <w:tab w:val="left" w:pos="1116"/>
              </w:tabs>
              <w:ind w:firstLine="0"/>
              <w:jc w:val="left"/>
              <w:rPr>
                <w:rFonts w:cs="Times New Roman"/>
                <w:sz w:val="22"/>
              </w:rPr>
            </w:pPr>
            <w:r>
              <w:rPr>
                <w:rFonts w:cs="Times New Roman"/>
                <w:sz w:val="22"/>
              </w:rPr>
              <w:t xml:space="preserve">Универсальная пришкольная спортивная площадка с искусственным покрытием у МКОУ «Лодейнопольская средняя общеобразовательная </w:t>
            </w:r>
            <w:r>
              <w:rPr>
                <w:rFonts w:cs="Times New Roman"/>
                <w:sz w:val="22"/>
              </w:rPr>
              <w:lastRenderedPageBreak/>
              <w:t>школа № 3 им. Героев Свири»</w:t>
            </w:r>
          </w:p>
        </w:tc>
        <w:tc>
          <w:tcPr>
            <w:tcW w:w="5002" w:type="dxa"/>
            <w:shd w:val="clear" w:color="auto" w:fill="auto"/>
          </w:tcPr>
          <w:p w:rsidR="00FA1F4E" w:rsidRDefault="003B2CFF">
            <w:pPr>
              <w:tabs>
                <w:tab w:val="left" w:pos="1116"/>
              </w:tabs>
              <w:ind w:firstLine="0"/>
              <w:jc w:val="left"/>
              <w:rPr>
                <w:rFonts w:cs="Times New Roman"/>
                <w:sz w:val="22"/>
              </w:rPr>
            </w:pPr>
            <w:r>
              <w:rPr>
                <w:rFonts w:cs="Times New Roman"/>
                <w:sz w:val="22"/>
              </w:rPr>
              <w:lastRenderedPageBreak/>
              <w:t>Общая площадь 2664 м</w:t>
            </w:r>
            <w:r>
              <w:rPr>
                <w:rFonts w:cs="Times New Roman"/>
                <w:sz w:val="22"/>
                <w:vertAlign w:val="superscript"/>
              </w:rPr>
              <w:t>2</w:t>
            </w:r>
            <w:r>
              <w:rPr>
                <w:rFonts w:cs="Times New Roman"/>
                <w:sz w:val="22"/>
              </w:rPr>
              <w:t xml:space="preserve"> (72 х 37)</w:t>
            </w:r>
          </w:p>
          <w:p w:rsidR="00FA1F4E" w:rsidRDefault="003B2CFF">
            <w:pPr>
              <w:tabs>
                <w:tab w:val="left" w:pos="1116"/>
              </w:tabs>
              <w:ind w:firstLine="0"/>
              <w:jc w:val="left"/>
              <w:rPr>
                <w:rFonts w:cs="Times New Roman"/>
                <w:sz w:val="22"/>
              </w:rPr>
            </w:pPr>
            <w:r>
              <w:rPr>
                <w:rFonts w:cs="Times New Roman"/>
                <w:sz w:val="22"/>
              </w:rPr>
              <w:t>Площадь футбольного поля 960 м</w:t>
            </w:r>
            <w:r>
              <w:rPr>
                <w:rFonts w:cs="Times New Roman"/>
                <w:sz w:val="22"/>
                <w:vertAlign w:val="superscript"/>
              </w:rPr>
              <w:t>2</w:t>
            </w:r>
            <w:r>
              <w:rPr>
                <w:rFonts w:cs="Times New Roman"/>
                <w:sz w:val="22"/>
              </w:rPr>
              <w:t xml:space="preserve"> (40 х 24)</w:t>
            </w:r>
          </w:p>
          <w:p w:rsidR="00FA1F4E" w:rsidRDefault="003B2CFF">
            <w:pPr>
              <w:tabs>
                <w:tab w:val="left" w:pos="1116"/>
              </w:tabs>
              <w:ind w:firstLine="0"/>
              <w:jc w:val="left"/>
              <w:rPr>
                <w:rFonts w:cs="Times New Roman"/>
                <w:sz w:val="22"/>
              </w:rPr>
            </w:pPr>
            <w:r>
              <w:rPr>
                <w:rFonts w:cs="Times New Roman"/>
                <w:sz w:val="22"/>
              </w:rPr>
              <w:t>Площадь волейбольного поля 162 м</w:t>
            </w:r>
            <w:r>
              <w:rPr>
                <w:rFonts w:cs="Times New Roman"/>
                <w:sz w:val="22"/>
                <w:vertAlign w:val="superscript"/>
              </w:rPr>
              <w:t>2</w:t>
            </w:r>
            <w:r>
              <w:rPr>
                <w:rFonts w:cs="Times New Roman"/>
                <w:sz w:val="22"/>
              </w:rPr>
              <w:t xml:space="preserve"> (9 х 18)</w:t>
            </w:r>
          </w:p>
          <w:p w:rsidR="00FA1F4E" w:rsidRDefault="003B2CFF">
            <w:pPr>
              <w:tabs>
                <w:tab w:val="left" w:pos="1116"/>
              </w:tabs>
              <w:ind w:firstLine="0"/>
              <w:jc w:val="left"/>
              <w:rPr>
                <w:rFonts w:cs="Times New Roman"/>
                <w:sz w:val="22"/>
              </w:rPr>
            </w:pPr>
            <w:r>
              <w:rPr>
                <w:rFonts w:cs="Times New Roman"/>
                <w:sz w:val="22"/>
              </w:rPr>
              <w:lastRenderedPageBreak/>
              <w:t>Площадь баскетбольного поля 120 м</w:t>
            </w:r>
            <w:r>
              <w:rPr>
                <w:rFonts w:cs="Times New Roman"/>
                <w:sz w:val="22"/>
                <w:vertAlign w:val="superscript"/>
              </w:rPr>
              <w:t>2</w:t>
            </w:r>
            <w:r>
              <w:rPr>
                <w:rFonts w:cs="Times New Roman"/>
                <w:sz w:val="22"/>
              </w:rPr>
              <w:t xml:space="preserve"> (8 х 15)</w:t>
            </w:r>
          </w:p>
        </w:tc>
      </w:tr>
    </w:tbl>
    <w:p w:rsidR="00FA1F4E" w:rsidRDefault="00FA1F4E">
      <w:pPr>
        <w:jc w:val="center"/>
        <w:rPr>
          <w:iCs/>
        </w:rPr>
      </w:pPr>
    </w:p>
    <w:p w:rsidR="00FA1F4E" w:rsidRDefault="003B2CFF">
      <w:pPr>
        <w:ind w:firstLine="0"/>
        <w:jc w:val="center"/>
      </w:pPr>
      <w:r>
        <w:rPr>
          <w:iCs/>
        </w:rPr>
        <w:t>Таблица 5. Расчет проектной вместимости учреждений и предприятий физической культуры и массового спорта местного значения поселения (на прогноз численности населения г. Лодейное Поле 19,8 тыс. чел. в соответствии с местными нормативами градостроительсного проектирования)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1776"/>
        <w:gridCol w:w="2491"/>
        <w:gridCol w:w="1697"/>
        <w:gridCol w:w="1611"/>
      </w:tblGrid>
      <w:tr w:rsidR="00FA1F4E">
        <w:trPr>
          <w:trHeight w:val="20"/>
          <w:tblHeader/>
        </w:trPr>
        <w:tc>
          <w:tcPr>
            <w:tcW w:w="1366" w:type="pct"/>
            <w:tcBorders>
              <w:bottom w:val="single" w:sz="4" w:space="0" w:color="auto"/>
            </w:tcBorders>
            <w:vAlign w:val="center"/>
          </w:tcPr>
          <w:p w:rsidR="00FA1F4E" w:rsidRDefault="003B2CFF">
            <w:pPr>
              <w:ind w:firstLine="0"/>
              <w:jc w:val="center"/>
              <w:rPr>
                <w:sz w:val="22"/>
              </w:rPr>
            </w:pPr>
            <w:r>
              <w:rPr>
                <w:sz w:val="22"/>
              </w:rPr>
              <w:t>Вид учреждения обслуживания</w:t>
            </w:r>
          </w:p>
        </w:tc>
        <w:tc>
          <w:tcPr>
            <w:tcW w:w="852" w:type="pct"/>
            <w:vAlign w:val="center"/>
          </w:tcPr>
          <w:p w:rsidR="00FA1F4E" w:rsidRDefault="003B2CFF">
            <w:pPr>
              <w:ind w:firstLine="0"/>
              <w:jc w:val="center"/>
              <w:rPr>
                <w:sz w:val="22"/>
              </w:rPr>
            </w:pPr>
            <w:r>
              <w:rPr>
                <w:sz w:val="22"/>
              </w:rPr>
              <w:t>Единица измерения</w:t>
            </w:r>
          </w:p>
        </w:tc>
        <w:tc>
          <w:tcPr>
            <w:tcW w:w="1195" w:type="pct"/>
            <w:vAlign w:val="center"/>
          </w:tcPr>
          <w:p w:rsidR="00FA1F4E" w:rsidRDefault="003B2CFF">
            <w:pPr>
              <w:ind w:firstLine="0"/>
              <w:jc w:val="center"/>
              <w:rPr>
                <w:sz w:val="22"/>
              </w:rPr>
            </w:pPr>
            <w:r>
              <w:rPr>
                <w:sz w:val="22"/>
              </w:rPr>
              <w:t xml:space="preserve">Рекомендуемые нормативы </w:t>
            </w:r>
          </w:p>
        </w:tc>
        <w:tc>
          <w:tcPr>
            <w:tcW w:w="814" w:type="pct"/>
          </w:tcPr>
          <w:p w:rsidR="00FA1F4E" w:rsidRDefault="003B2CFF">
            <w:pPr>
              <w:ind w:firstLine="0"/>
              <w:jc w:val="center"/>
              <w:rPr>
                <w:sz w:val="22"/>
              </w:rPr>
            </w:pPr>
            <w:r>
              <w:rPr>
                <w:sz w:val="22"/>
              </w:rPr>
              <w:t>Параметры существующих объектов</w:t>
            </w:r>
          </w:p>
        </w:tc>
        <w:tc>
          <w:tcPr>
            <w:tcW w:w="773" w:type="pct"/>
            <w:vAlign w:val="center"/>
          </w:tcPr>
          <w:p w:rsidR="00FA1F4E" w:rsidRDefault="003B2CFF">
            <w:pPr>
              <w:ind w:firstLine="0"/>
              <w:jc w:val="center"/>
              <w:rPr>
                <w:sz w:val="22"/>
              </w:rPr>
            </w:pPr>
            <w:r>
              <w:rPr>
                <w:sz w:val="22"/>
              </w:rPr>
              <w:t>Требуется на расчетный срок</w:t>
            </w:r>
          </w:p>
        </w:tc>
      </w:tr>
      <w:tr w:rsidR="00FA1F4E">
        <w:trPr>
          <w:trHeight w:val="20"/>
        </w:trPr>
        <w:tc>
          <w:tcPr>
            <w:tcW w:w="1366" w:type="pct"/>
            <w:vAlign w:val="center"/>
          </w:tcPr>
          <w:p w:rsidR="00FA1F4E" w:rsidRDefault="003B2CFF">
            <w:pPr>
              <w:ind w:firstLine="0"/>
              <w:jc w:val="center"/>
              <w:rPr>
                <w:sz w:val="22"/>
              </w:rPr>
            </w:pPr>
            <w:r>
              <w:rPr>
                <w:sz w:val="22"/>
              </w:rPr>
              <w:t>Спортивные залы</w:t>
            </w:r>
          </w:p>
        </w:tc>
        <w:tc>
          <w:tcPr>
            <w:tcW w:w="852" w:type="pct"/>
            <w:vAlign w:val="center"/>
          </w:tcPr>
          <w:p w:rsidR="00FA1F4E" w:rsidRDefault="003B2CFF">
            <w:pPr>
              <w:ind w:firstLine="0"/>
              <w:jc w:val="center"/>
              <w:rPr>
                <w:sz w:val="22"/>
              </w:rPr>
            </w:pPr>
            <w:r>
              <w:rPr>
                <w:sz w:val="22"/>
              </w:rPr>
              <w:t>кв. м площади пола</w:t>
            </w:r>
          </w:p>
        </w:tc>
        <w:tc>
          <w:tcPr>
            <w:tcW w:w="1195" w:type="pct"/>
            <w:vAlign w:val="center"/>
          </w:tcPr>
          <w:p w:rsidR="00FA1F4E" w:rsidRDefault="003B2CFF">
            <w:pPr>
              <w:ind w:firstLine="0"/>
              <w:jc w:val="center"/>
              <w:rPr>
                <w:sz w:val="22"/>
              </w:rPr>
            </w:pPr>
            <w:r>
              <w:rPr>
                <w:sz w:val="22"/>
              </w:rPr>
              <w:t>350 кв. м на тыс. жителей</w:t>
            </w:r>
          </w:p>
        </w:tc>
        <w:tc>
          <w:tcPr>
            <w:tcW w:w="814" w:type="pct"/>
            <w:vAlign w:val="center"/>
          </w:tcPr>
          <w:p w:rsidR="00FA1F4E" w:rsidRDefault="003B2CFF">
            <w:pPr>
              <w:ind w:firstLine="0"/>
              <w:jc w:val="center"/>
              <w:rPr>
                <w:sz w:val="22"/>
              </w:rPr>
            </w:pPr>
            <w:r>
              <w:rPr>
                <w:sz w:val="22"/>
              </w:rPr>
              <w:t>2402,8</w:t>
            </w:r>
          </w:p>
        </w:tc>
        <w:tc>
          <w:tcPr>
            <w:tcW w:w="773" w:type="pct"/>
            <w:vAlign w:val="center"/>
          </w:tcPr>
          <w:p w:rsidR="00FA1F4E" w:rsidRDefault="003B2CFF">
            <w:pPr>
              <w:ind w:firstLine="0"/>
              <w:jc w:val="center"/>
              <w:rPr>
                <w:sz w:val="22"/>
              </w:rPr>
            </w:pPr>
            <w:r>
              <w:rPr>
                <w:sz w:val="22"/>
              </w:rPr>
              <w:t>38610</w:t>
            </w:r>
          </w:p>
        </w:tc>
      </w:tr>
      <w:tr w:rsidR="00FA1F4E">
        <w:trPr>
          <w:trHeight w:val="20"/>
        </w:trPr>
        <w:tc>
          <w:tcPr>
            <w:tcW w:w="1366" w:type="pct"/>
            <w:vAlign w:val="center"/>
          </w:tcPr>
          <w:p w:rsidR="00FA1F4E" w:rsidRDefault="003B2CFF">
            <w:pPr>
              <w:ind w:firstLine="0"/>
              <w:jc w:val="center"/>
              <w:rPr>
                <w:sz w:val="22"/>
              </w:rPr>
            </w:pPr>
            <w:r>
              <w:rPr>
                <w:sz w:val="22"/>
              </w:rPr>
              <w:t>Плоскостные сооружения</w:t>
            </w:r>
          </w:p>
        </w:tc>
        <w:tc>
          <w:tcPr>
            <w:tcW w:w="852" w:type="pct"/>
            <w:vAlign w:val="center"/>
          </w:tcPr>
          <w:p w:rsidR="00FA1F4E" w:rsidRDefault="003B2CFF">
            <w:pPr>
              <w:ind w:firstLine="0"/>
              <w:jc w:val="center"/>
              <w:rPr>
                <w:sz w:val="22"/>
              </w:rPr>
            </w:pPr>
            <w:r>
              <w:rPr>
                <w:sz w:val="22"/>
              </w:rPr>
              <w:t>кв. м</w:t>
            </w:r>
          </w:p>
        </w:tc>
        <w:tc>
          <w:tcPr>
            <w:tcW w:w="1195" w:type="pct"/>
            <w:vAlign w:val="center"/>
          </w:tcPr>
          <w:p w:rsidR="00FA1F4E" w:rsidRDefault="003B2CFF">
            <w:pPr>
              <w:ind w:firstLine="0"/>
              <w:jc w:val="center"/>
              <w:rPr>
                <w:sz w:val="22"/>
              </w:rPr>
            </w:pPr>
            <w:r>
              <w:rPr>
                <w:sz w:val="22"/>
              </w:rPr>
              <w:t>1950 на тыс. жителей</w:t>
            </w:r>
          </w:p>
        </w:tc>
        <w:tc>
          <w:tcPr>
            <w:tcW w:w="814" w:type="pct"/>
            <w:vAlign w:val="center"/>
          </w:tcPr>
          <w:p w:rsidR="00FA1F4E" w:rsidRDefault="003B2CFF">
            <w:pPr>
              <w:ind w:firstLine="0"/>
              <w:jc w:val="center"/>
              <w:rPr>
                <w:sz w:val="22"/>
              </w:rPr>
            </w:pPr>
            <w:r>
              <w:rPr>
                <w:sz w:val="22"/>
              </w:rPr>
              <w:t>23694,6</w:t>
            </w:r>
          </w:p>
        </w:tc>
        <w:tc>
          <w:tcPr>
            <w:tcW w:w="773" w:type="pct"/>
            <w:vAlign w:val="center"/>
          </w:tcPr>
          <w:p w:rsidR="00FA1F4E" w:rsidRDefault="003B2CFF">
            <w:pPr>
              <w:ind w:firstLine="0"/>
              <w:jc w:val="center"/>
              <w:rPr>
                <w:sz w:val="22"/>
              </w:rPr>
            </w:pPr>
            <w:r>
              <w:rPr>
                <w:sz w:val="22"/>
              </w:rPr>
              <w:t>6930</w:t>
            </w:r>
          </w:p>
        </w:tc>
      </w:tr>
      <w:tr w:rsidR="00FA1F4E">
        <w:trPr>
          <w:trHeight w:val="20"/>
        </w:trPr>
        <w:tc>
          <w:tcPr>
            <w:tcW w:w="1366" w:type="pct"/>
            <w:vAlign w:val="center"/>
          </w:tcPr>
          <w:p w:rsidR="00FA1F4E" w:rsidRDefault="003B2CFF">
            <w:pPr>
              <w:ind w:firstLine="0"/>
              <w:jc w:val="center"/>
              <w:rPr>
                <w:sz w:val="22"/>
              </w:rPr>
            </w:pPr>
            <w:r>
              <w:rPr>
                <w:sz w:val="22"/>
              </w:rPr>
              <w:t>Плавательные бассейны</w:t>
            </w:r>
          </w:p>
        </w:tc>
        <w:tc>
          <w:tcPr>
            <w:tcW w:w="852" w:type="pct"/>
            <w:vAlign w:val="center"/>
          </w:tcPr>
          <w:p w:rsidR="00FA1F4E" w:rsidRDefault="003B2CFF">
            <w:pPr>
              <w:ind w:firstLine="0"/>
              <w:jc w:val="center"/>
              <w:rPr>
                <w:sz w:val="22"/>
              </w:rPr>
            </w:pPr>
            <w:r>
              <w:rPr>
                <w:sz w:val="22"/>
              </w:rPr>
              <w:t>кв. м зеркала воды</w:t>
            </w:r>
          </w:p>
        </w:tc>
        <w:tc>
          <w:tcPr>
            <w:tcW w:w="1195" w:type="pct"/>
            <w:vAlign w:val="center"/>
          </w:tcPr>
          <w:p w:rsidR="00FA1F4E" w:rsidRDefault="003B2CFF">
            <w:pPr>
              <w:ind w:firstLine="0"/>
              <w:jc w:val="center"/>
              <w:rPr>
                <w:sz w:val="22"/>
              </w:rPr>
            </w:pPr>
            <w:r>
              <w:rPr>
                <w:sz w:val="22"/>
              </w:rPr>
              <w:t>75 на тыс. жителей</w:t>
            </w:r>
          </w:p>
        </w:tc>
        <w:tc>
          <w:tcPr>
            <w:tcW w:w="814" w:type="pct"/>
            <w:vAlign w:val="center"/>
          </w:tcPr>
          <w:p w:rsidR="00FA1F4E" w:rsidRDefault="003B2CFF">
            <w:pPr>
              <w:ind w:firstLine="0"/>
              <w:jc w:val="center"/>
              <w:rPr>
                <w:sz w:val="22"/>
              </w:rPr>
            </w:pPr>
            <w:r>
              <w:rPr>
                <w:sz w:val="22"/>
              </w:rPr>
              <w:t>272,5</w:t>
            </w:r>
          </w:p>
        </w:tc>
        <w:tc>
          <w:tcPr>
            <w:tcW w:w="773" w:type="pct"/>
            <w:vAlign w:val="center"/>
          </w:tcPr>
          <w:p w:rsidR="00FA1F4E" w:rsidRDefault="003B2CFF">
            <w:pPr>
              <w:ind w:firstLine="0"/>
              <w:jc w:val="center"/>
              <w:rPr>
                <w:sz w:val="22"/>
              </w:rPr>
            </w:pPr>
            <w:r>
              <w:rPr>
                <w:sz w:val="22"/>
              </w:rPr>
              <w:t>1485</w:t>
            </w:r>
          </w:p>
        </w:tc>
      </w:tr>
    </w:tbl>
    <w:p w:rsidR="00FA1F4E" w:rsidRDefault="00FA1F4E"/>
    <w:p w:rsidR="00FA1F4E" w:rsidRDefault="003B2CFF">
      <w:pPr>
        <w:pStyle w:val="aff2"/>
        <w:spacing w:before="0" w:beforeAutospacing="0" w:after="0" w:afterAutospacing="0"/>
        <w:ind w:firstLine="709"/>
        <w:jc w:val="both"/>
      </w:pPr>
      <w:r>
        <w:t>Согласно Стандарту обеспечения Ленинградской области объектами физической культуры и спорта, утвержденному распоряжением комитета по физической культуре и спорту Ленинградской области от 27 сентября 2019 года № 366-р, в целях обеспечения населения городских поселений Ленинградской области спортивной инфраструктурой массового спорта, при решении вопроса о создании новых объектов спорта рекомендуется (при отсутствии) создавать в административных центрах городских поселений муниципальных районов Ленинградской области:</w:t>
      </w:r>
    </w:p>
    <w:p w:rsidR="00FA1F4E" w:rsidRDefault="003B2CFF">
      <w:pPr>
        <w:pStyle w:val="afff3"/>
        <w:numPr>
          <w:ilvl w:val="0"/>
          <w:numId w:val="45"/>
        </w:numPr>
        <w:spacing w:before="0" w:after="0"/>
      </w:pPr>
      <w:r>
        <w:t>физкультурно-оздоровительный комплекс – 1 единица (площадь сухого зала для общефизической подготовки — не более 36х18 м);</w:t>
      </w:r>
    </w:p>
    <w:p w:rsidR="00FA1F4E" w:rsidRDefault="003B2CFF">
      <w:pPr>
        <w:pStyle w:val="afff3"/>
        <w:numPr>
          <w:ilvl w:val="0"/>
          <w:numId w:val="45"/>
        </w:numPr>
        <w:spacing w:before="0" w:after="0"/>
      </w:pPr>
      <w:r>
        <w:t>универсальная спортивная площадка;</w:t>
      </w:r>
    </w:p>
    <w:p w:rsidR="00FA1F4E" w:rsidRDefault="003B2CFF">
      <w:pPr>
        <w:pStyle w:val="afff3"/>
        <w:numPr>
          <w:ilvl w:val="0"/>
          <w:numId w:val="45"/>
        </w:numPr>
        <w:spacing w:before="0" w:after="0"/>
      </w:pPr>
      <w:r>
        <w:t>лыжная трасса – 1 единица (минимальная длина дистанции – 2 км).</w:t>
      </w:r>
    </w:p>
    <w:p w:rsidR="00FA1F4E" w:rsidRDefault="003B2CFF">
      <w:pPr>
        <w:pStyle w:val="aff2"/>
        <w:spacing w:before="0" w:beforeAutospacing="0" w:after="0" w:afterAutospacing="0"/>
        <w:ind w:firstLine="709"/>
        <w:jc w:val="both"/>
      </w:pPr>
      <w:r>
        <w:t>В соответствии с указанным Стандартом решения о первоочередности строительства вышеперечисленных спортивных объектов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FA1F4E" w:rsidRDefault="003B2CFF">
      <w:r>
        <w:t>Решение о создании объектов спорта иных видов или в ином количестве принимается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FA1F4E" w:rsidRDefault="003B2CFF">
      <w:r>
        <w:t>В соответствии со сведениями, предоставленными отделом по культуре, молодежной политике и спорту администрации Лодейнопольского муниципального района, уточняются сроки реализации планируемых к строительству и реконструкции объектов местного значения в области физической культуры и спорта:</w:t>
      </w:r>
    </w:p>
    <w:p w:rsidR="00FA1F4E" w:rsidRDefault="003B2CFF">
      <w:pPr>
        <w:pStyle w:val="afff"/>
        <w:numPr>
          <w:ilvl w:val="0"/>
          <w:numId w:val="44"/>
        </w:numPr>
      </w:pPr>
      <w:r>
        <w:t>реконструкция стадиона (2023 год);</w:t>
      </w:r>
    </w:p>
    <w:p w:rsidR="00FA1F4E" w:rsidRDefault="003B2CFF">
      <w:pPr>
        <w:pStyle w:val="afff"/>
        <w:numPr>
          <w:ilvl w:val="0"/>
          <w:numId w:val="44"/>
        </w:numPr>
      </w:pPr>
      <w:r>
        <w:t>строительство комплекса открытых плоскостных физкультурно-спортивных и физкультурно-рекреационных сооружений (2023 - 2024 гг.);</w:t>
      </w:r>
    </w:p>
    <w:p w:rsidR="00FA1F4E" w:rsidRDefault="003B2CFF">
      <w:pPr>
        <w:pStyle w:val="afff"/>
        <w:numPr>
          <w:ilvl w:val="0"/>
          <w:numId w:val="44"/>
        </w:numPr>
      </w:pPr>
      <w:r>
        <w:t>строительство лыжной базы «Озерко» с организацией лыжных трасс (2024 год) (с учетом письма комитета по физической культуре и спорту</w:t>
      </w:r>
      <w:r>
        <w:rPr>
          <w:lang w:bidi="ru-RU"/>
        </w:rPr>
        <w:t xml:space="preserve"> </w:t>
      </w:r>
      <w:r>
        <w:t xml:space="preserve">Ленинградской области </w:t>
      </w:r>
      <w:r>
        <w:rPr>
          <w:lang w:bidi="ru-RU"/>
        </w:rPr>
        <w:t>от 22.07.2022 № И-2295/2022 уточнено наименование и значение планируемого объекта: «Строительство лыжной базы в г. Лодейное Поле, ул. Железнодорожная, д. 119», планируемый объект местного значения муниципального района)</w:t>
      </w:r>
      <w:r>
        <w:t>.</w:t>
      </w:r>
    </w:p>
    <w:p w:rsidR="00FA1F4E" w:rsidRPr="00C874DA" w:rsidRDefault="003B2CFF">
      <w:r>
        <w:t>Дополнительно с учетом письма комитета по физической культуре и спорту</w:t>
      </w:r>
      <w:r>
        <w:rPr>
          <w:lang w:bidi="ru-RU"/>
        </w:rPr>
        <w:t xml:space="preserve"> </w:t>
      </w:r>
      <w:r>
        <w:t xml:space="preserve">Ленинградской области </w:t>
      </w:r>
      <w:r>
        <w:rPr>
          <w:lang w:bidi="ru-RU"/>
        </w:rPr>
        <w:t xml:space="preserve">от 22.07.2022 № И-2295/2022 в состав планируемых объектов местного значения поселения включается физкультурно-оздоровительный комплекс (планируемый к строительству в </w:t>
      </w:r>
      <w:r>
        <w:t>г. Лодейное Поле, земельный участок с кадастровым номером 47:06:0102003:6</w:t>
      </w:r>
      <w:r>
        <w:rPr>
          <w:lang w:bidi="ru-RU"/>
        </w:rPr>
        <w:t xml:space="preserve">), на который в </w:t>
      </w:r>
      <w:r w:rsidRPr="00C874DA">
        <w:rPr>
          <w:lang w:bidi="ru-RU"/>
        </w:rPr>
        <w:lastRenderedPageBreak/>
        <w:t xml:space="preserve">настоящее время ведется разработка проектно-сметной документации. </w:t>
      </w:r>
      <w:r w:rsidRPr="00C874DA">
        <w:t>Наименование объекта в соответствии с муниципальной программой Лодейнопольского городского поселения Лодейнопольского муниципального района Ленинградской области «Развитие физической культуры и спорта в Лодейнопольском городском поселении» и проектной документацией:</w:t>
      </w:r>
      <w:r w:rsidRPr="00C874DA">
        <w:rPr>
          <w:lang w:val="en-US"/>
        </w:rPr>
        <w:t> </w:t>
      </w:r>
      <w:r w:rsidRPr="00C874DA">
        <w:t>«Физкультурно-оздоровительный комплекс с универсальным игровым залом по адресу: Ленинградская область, г. Лодейное Поле, ул. Гагарина уч.1а».</w:t>
      </w:r>
    </w:p>
    <w:p w:rsidR="00FA1F4E" w:rsidRDefault="003B2CFF">
      <w:r w:rsidRPr="00C874DA">
        <w:t>В связи с отсутствием изменений в нормативах градостроительного проектирования уточнение местоположения и параметров планируемых объектов в области физической культуры</w:t>
      </w:r>
      <w:r>
        <w:t xml:space="preserve"> и спорта не требуется.</w:t>
      </w:r>
    </w:p>
    <w:p w:rsidR="00FA1F4E" w:rsidRDefault="00FA1F4E"/>
    <w:p w:rsidR="00FA1F4E" w:rsidRDefault="003B2CFF">
      <w:pPr>
        <w:pStyle w:val="20"/>
        <w:jc w:val="both"/>
      </w:pPr>
      <w:bookmarkStart w:id="25" w:name="_Toc106831760"/>
      <w:r>
        <w:t>7.3. Уточнение параметров планируемых объектов в иных областях в связи с решением вопросов местного значения поселения</w:t>
      </w:r>
      <w:bookmarkEnd w:id="25"/>
    </w:p>
    <w:p w:rsidR="00FA1F4E" w:rsidRDefault="00FA1F4E"/>
    <w:p w:rsidR="00FA1F4E" w:rsidRDefault="003B2CFF">
      <w:pPr>
        <w:rPr>
          <w:b/>
        </w:rPr>
      </w:pPr>
      <w:r>
        <w:rPr>
          <w:b/>
        </w:rPr>
        <w:t>Объекты культурно-просветительного назначения и культурно-досугового (клубного) типа, учреждения органов по делам молодежи</w:t>
      </w:r>
    </w:p>
    <w:p w:rsidR="00FA1F4E" w:rsidRDefault="003B2CFF">
      <w:r>
        <w:t>Сведения о существующих объектах культурно-просветительного назначения и культурно-досугового (клубного) типа и оценка потребности планируемых параметров развития в соответствии с нормативами градостроительного проектирования представлены в таблицах 6 и 7.</w:t>
      </w:r>
    </w:p>
    <w:p w:rsidR="00FA1F4E" w:rsidRDefault="00FA1F4E">
      <w:pPr>
        <w:ind w:firstLine="0"/>
        <w:jc w:val="center"/>
        <w:rPr>
          <w:rFonts w:cs="Times New Roman"/>
          <w:szCs w:val="24"/>
        </w:rPr>
      </w:pPr>
    </w:p>
    <w:p w:rsidR="00FA1F4E" w:rsidRDefault="003B2CFF">
      <w:pPr>
        <w:ind w:firstLine="0"/>
        <w:jc w:val="center"/>
        <w:rPr>
          <w:rFonts w:cs="Times New Roman"/>
          <w:szCs w:val="24"/>
          <w:lang w:eastAsia="ru-RU"/>
        </w:rPr>
      </w:pPr>
      <w:r>
        <w:rPr>
          <w:rFonts w:cs="Times New Roman"/>
          <w:szCs w:val="24"/>
        </w:rPr>
        <w:t xml:space="preserve">Таблица 6. </w:t>
      </w:r>
      <w:r>
        <w:rPr>
          <w:rFonts w:cs="Times New Roman"/>
          <w:szCs w:val="24"/>
          <w:lang w:eastAsia="ru-RU"/>
        </w:rPr>
        <w:t>Характеристика учреждений культуры и досуга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969"/>
        <w:gridCol w:w="5918"/>
      </w:tblGrid>
      <w:tr w:rsidR="00FA1F4E">
        <w:trPr>
          <w:tblHeade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Наименование</w:t>
            </w:r>
          </w:p>
        </w:tc>
        <w:tc>
          <w:tcPr>
            <w:tcW w:w="5918"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center"/>
              <w:rPr>
                <w:rFonts w:cs="Times New Roman"/>
                <w:sz w:val="22"/>
              </w:rPr>
            </w:pPr>
            <w:r>
              <w:rPr>
                <w:rFonts w:cs="Times New Roman"/>
                <w:sz w:val="22"/>
              </w:rPr>
              <w:t>Параметры</w:t>
            </w:r>
          </w:p>
        </w:tc>
      </w:tr>
      <w:tr w:rsidR="00FA1F4E">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w:t>
            </w:r>
          </w:p>
        </w:tc>
        <w:tc>
          <w:tcPr>
            <w:tcW w:w="3969"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left"/>
              <w:rPr>
                <w:rFonts w:cs="Times New Roman"/>
                <w:sz w:val="22"/>
              </w:rPr>
            </w:pPr>
            <w:r>
              <w:rPr>
                <w:rFonts w:cs="Times New Roman"/>
                <w:sz w:val="22"/>
              </w:rPr>
              <w:t>МБУ «Лодейнопольский Дом народного творчества им. Ю. П. Захарова»</w:t>
            </w:r>
          </w:p>
        </w:tc>
        <w:tc>
          <w:tcPr>
            <w:tcW w:w="5918"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left"/>
              <w:rPr>
                <w:rFonts w:cs="Times New Roman"/>
                <w:sz w:val="22"/>
              </w:rPr>
            </w:pPr>
            <w:r>
              <w:rPr>
                <w:rFonts w:cs="Times New Roman"/>
                <w:sz w:val="22"/>
              </w:rPr>
              <w:t xml:space="preserve">Количество зрительных залов – 2 ед. </w:t>
            </w:r>
          </w:p>
          <w:p w:rsidR="00FA1F4E" w:rsidRDefault="003B2CFF">
            <w:pPr>
              <w:ind w:firstLine="0"/>
              <w:jc w:val="left"/>
              <w:rPr>
                <w:rFonts w:cs="Times New Roman"/>
                <w:sz w:val="22"/>
              </w:rPr>
            </w:pPr>
            <w:r>
              <w:rPr>
                <w:rFonts w:cs="Times New Roman"/>
                <w:sz w:val="22"/>
              </w:rPr>
              <w:t xml:space="preserve">Количество посадочных мест – 611 ед. </w:t>
            </w:r>
          </w:p>
          <w:p w:rsidR="00FA1F4E" w:rsidRDefault="003B2CFF">
            <w:pPr>
              <w:ind w:firstLine="0"/>
              <w:jc w:val="left"/>
              <w:rPr>
                <w:rFonts w:cs="Times New Roman"/>
                <w:sz w:val="22"/>
              </w:rPr>
            </w:pPr>
            <w:r>
              <w:rPr>
                <w:rFonts w:cs="Times New Roman"/>
                <w:sz w:val="22"/>
              </w:rPr>
              <w:t xml:space="preserve">Количество досуговых помещений – 9 ед. </w:t>
            </w:r>
          </w:p>
          <w:p w:rsidR="00FA1F4E" w:rsidRDefault="003B2CFF">
            <w:pPr>
              <w:ind w:firstLine="0"/>
              <w:jc w:val="left"/>
              <w:rPr>
                <w:rFonts w:cs="Times New Roman"/>
                <w:sz w:val="22"/>
              </w:rPr>
            </w:pPr>
            <w:r>
              <w:rPr>
                <w:rFonts w:cs="Times New Roman"/>
                <w:sz w:val="22"/>
              </w:rPr>
              <w:t>Общая площадь досуговых помещений – 960,6 м</w:t>
            </w:r>
            <w:r>
              <w:rPr>
                <w:rFonts w:cs="Times New Roman"/>
                <w:sz w:val="22"/>
                <w:vertAlign w:val="superscript"/>
              </w:rPr>
              <w:t>2</w:t>
            </w:r>
            <w:r>
              <w:rPr>
                <w:rFonts w:cs="Times New Roman"/>
                <w:sz w:val="22"/>
              </w:rPr>
              <w:t xml:space="preserve">. </w:t>
            </w:r>
          </w:p>
          <w:p w:rsidR="00FA1F4E" w:rsidRDefault="003B2CFF">
            <w:pPr>
              <w:ind w:firstLine="0"/>
              <w:jc w:val="left"/>
              <w:rPr>
                <w:rFonts w:cs="Times New Roman"/>
                <w:sz w:val="22"/>
              </w:rPr>
            </w:pPr>
            <w:r>
              <w:rPr>
                <w:rFonts w:cs="Times New Roman"/>
                <w:sz w:val="22"/>
              </w:rPr>
              <w:t>Отдельно стоящее здание, площадь 3524,7 м</w:t>
            </w:r>
            <w:r>
              <w:rPr>
                <w:rFonts w:cs="Times New Roman"/>
                <w:sz w:val="22"/>
                <w:vertAlign w:val="superscript"/>
              </w:rPr>
              <w:t>2</w:t>
            </w:r>
            <w:r>
              <w:rPr>
                <w:rFonts w:cs="Times New Roman"/>
                <w:sz w:val="22"/>
              </w:rPr>
              <w:t xml:space="preserve">. </w:t>
            </w:r>
          </w:p>
          <w:p w:rsidR="00FA1F4E" w:rsidRDefault="003B2CFF">
            <w:pPr>
              <w:ind w:firstLine="0"/>
              <w:jc w:val="left"/>
              <w:rPr>
                <w:rFonts w:cs="Times New Roman"/>
                <w:sz w:val="22"/>
              </w:rPr>
            </w:pPr>
            <w:r>
              <w:rPr>
                <w:rFonts w:cs="Times New Roman"/>
                <w:sz w:val="22"/>
              </w:rPr>
              <w:t>Требуется капитальный ремонт.</w:t>
            </w:r>
          </w:p>
        </w:tc>
      </w:tr>
      <w:tr w:rsidR="00FA1F4E">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w:t>
            </w:r>
          </w:p>
        </w:tc>
        <w:tc>
          <w:tcPr>
            <w:tcW w:w="3969"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left"/>
              <w:rPr>
                <w:rFonts w:cs="Times New Roman"/>
                <w:sz w:val="22"/>
              </w:rPr>
            </w:pPr>
            <w:r>
              <w:rPr>
                <w:rFonts w:cs="Times New Roman"/>
                <w:sz w:val="22"/>
              </w:rPr>
              <w:t>МКУ «Лодейнопольский центр ремесел»</w:t>
            </w:r>
          </w:p>
        </w:tc>
        <w:tc>
          <w:tcPr>
            <w:tcW w:w="5918"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left"/>
              <w:rPr>
                <w:rFonts w:cs="Times New Roman"/>
                <w:sz w:val="22"/>
              </w:rPr>
            </w:pPr>
            <w:r>
              <w:rPr>
                <w:rFonts w:cs="Times New Roman"/>
                <w:sz w:val="22"/>
              </w:rPr>
              <w:t xml:space="preserve">Количество досуговых помещений – 10 ед. </w:t>
            </w:r>
          </w:p>
          <w:p w:rsidR="00FA1F4E" w:rsidRDefault="003B2CFF">
            <w:pPr>
              <w:ind w:firstLine="0"/>
              <w:jc w:val="left"/>
              <w:rPr>
                <w:rFonts w:cs="Times New Roman"/>
                <w:sz w:val="22"/>
              </w:rPr>
            </w:pPr>
            <w:r>
              <w:rPr>
                <w:rFonts w:cs="Times New Roman"/>
                <w:sz w:val="22"/>
              </w:rPr>
              <w:t>Общая площадь досуговых помещений – 194 м</w:t>
            </w:r>
            <w:r>
              <w:rPr>
                <w:rFonts w:cs="Times New Roman"/>
                <w:sz w:val="22"/>
                <w:vertAlign w:val="superscript"/>
              </w:rPr>
              <w:t>2</w:t>
            </w:r>
            <w:r>
              <w:rPr>
                <w:rFonts w:cs="Times New Roman"/>
                <w:sz w:val="22"/>
              </w:rPr>
              <w:t xml:space="preserve">. </w:t>
            </w:r>
          </w:p>
          <w:p w:rsidR="00FA1F4E" w:rsidRDefault="003B2CFF">
            <w:pPr>
              <w:ind w:firstLine="0"/>
              <w:jc w:val="left"/>
              <w:rPr>
                <w:rFonts w:cs="Times New Roman"/>
                <w:sz w:val="22"/>
              </w:rPr>
            </w:pPr>
            <w:r>
              <w:rPr>
                <w:rFonts w:cs="Times New Roman"/>
                <w:sz w:val="22"/>
              </w:rPr>
              <w:t>Отдельно стоящее здание, состояние удовлетворительное</w:t>
            </w:r>
          </w:p>
        </w:tc>
      </w:tr>
      <w:tr w:rsidR="00FA1F4E">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w:t>
            </w:r>
          </w:p>
        </w:tc>
        <w:tc>
          <w:tcPr>
            <w:tcW w:w="3969"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left"/>
              <w:rPr>
                <w:rFonts w:cs="Times New Roman"/>
                <w:sz w:val="22"/>
              </w:rPr>
            </w:pPr>
            <w:r>
              <w:rPr>
                <w:rFonts w:cs="Times New Roman"/>
                <w:sz w:val="22"/>
              </w:rPr>
              <w:t xml:space="preserve">ГБУК ЛО «Лодейнопольский драматический театр-студия «Апрель» </w:t>
            </w:r>
          </w:p>
          <w:p w:rsidR="00FA1F4E" w:rsidRDefault="003B2CFF">
            <w:pPr>
              <w:ind w:firstLine="0"/>
              <w:jc w:val="left"/>
              <w:rPr>
                <w:rFonts w:cs="Times New Roman"/>
                <w:sz w:val="22"/>
              </w:rPr>
            </w:pPr>
            <w:r>
              <w:rPr>
                <w:rFonts w:cs="Times New Roman"/>
                <w:sz w:val="22"/>
              </w:rPr>
              <w:t>(с кинотеатром «Мирный»)</w:t>
            </w:r>
          </w:p>
        </w:tc>
        <w:tc>
          <w:tcPr>
            <w:tcW w:w="5918" w:type="dxa"/>
            <w:tcBorders>
              <w:top w:val="single" w:sz="4" w:space="0" w:color="000000"/>
              <w:left w:val="single" w:sz="4" w:space="0" w:color="000000"/>
              <w:bottom w:val="single" w:sz="4" w:space="0" w:color="000000"/>
              <w:right w:val="single" w:sz="4" w:space="0" w:color="000000"/>
            </w:tcBorders>
          </w:tcPr>
          <w:p w:rsidR="00FA1F4E" w:rsidRDefault="003B2CFF">
            <w:pPr>
              <w:ind w:firstLine="0"/>
              <w:jc w:val="left"/>
              <w:rPr>
                <w:rFonts w:cs="Times New Roman"/>
                <w:sz w:val="22"/>
              </w:rPr>
            </w:pPr>
            <w:r>
              <w:rPr>
                <w:rFonts w:cs="Times New Roman"/>
                <w:sz w:val="22"/>
              </w:rPr>
              <w:t>Количество существующих мест 166</w:t>
            </w:r>
          </w:p>
        </w:tc>
      </w:tr>
    </w:tbl>
    <w:p w:rsidR="00FA1F4E" w:rsidRDefault="00FA1F4E">
      <w:pPr>
        <w:ind w:firstLine="0"/>
      </w:pPr>
    </w:p>
    <w:p w:rsidR="00FA1F4E" w:rsidRDefault="003B2CFF">
      <w:pPr>
        <w:pStyle w:val="24"/>
        <w:widowControl w:val="0"/>
        <w:spacing w:after="0" w:line="240" w:lineRule="auto"/>
        <w:ind w:left="0"/>
        <w:jc w:val="center"/>
        <w:rPr>
          <w:iCs/>
        </w:rPr>
      </w:pPr>
      <w:r>
        <w:rPr>
          <w:iCs/>
        </w:rPr>
        <w:t xml:space="preserve">Таблица </w:t>
      </w:r>
      <w:r>
        <w:rPr>
          <w:iCs/>
          <w:lang w:val="ru-RU"/>
        </w:rPr>
        <w:t>7</w:t>
      </w:r>
      <w:r>
        <w:rPr>
          <w:iCs/>
        </w:rPr>
        <w:t xml:space="preserve">. Нормативный расчет проектной вместимости учреждений и предприятий обслуживания населения местного значения поселения на прогнозную численность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3"/>
        <w:gridCol w:w="1449"/>
        <w:gridCol w:w="5071"/>
        <w:gridCol w:w="1588"/>
      </w:tblGrid>
      <w:tr w:rsidR="00FA1F4E">
        <w:trPr>
          <w:trHeight w:val="20"/>
          <w:tblHeader/>
        </w:trPr>
        <w:tc>
          <w:tcPr>
            <w:tcW w:w="1110" w:type="pct"/>
            <w:tcBorders>
              <w:bottom w:val="single" w:sz="4" w:space="0" w:color="auto"/>
            </w:tcBorders>
            <w:vAlign w:val="center"/>
          </w:tcPr>
          <w:p w:rsidR="00FA1F4E" w:rsidRDefault="003B2CFF">
            <w:pPr>
              <w:ind w:firstLine="0"/>
              <w:jc w:val="center"/>
              <w:rPr>
                <w:sz w:val="22"/>
              </w:rPr>
            </w:pPr>
            <w:r>
              <w:rPr>
                <w:sz w:val="22"/>
              </w:rPr>
              <w:t>Наименование типа учреждения обслуживания</w:t>
            </w:r>
          </w:p>
        </w:tc>
        <w:tc>
          <w:tcPr>
            <w:tcW w:w="695" w:type="pct"/>
            <w:vAlign w:val="center"/>
          </w:tcPr>
          <w:p w:rsidR="00FA1F4E" w:rsidRDefault="003B2CFF">
            <w:pPr>
              <w:ind w:firstLine="0"/>
              <w:jc w:val="center"/>
              <w:rPr>
                <w:sz w:val="22"/>
              </w:rPr>
            </w:pPr>
            <w:r>
              <w:rPr>
                <w:sz w:val="22"/>
              </w:rPr>
              <w:t>Единица измерения</w:t>
            </w:r>
          </w:p>
        </w:tc>
        <w:tc>
          <w:tcPr>
            <w:tcW w:w="2433" w:type="pct"/>
            <w:vAlign w:val="center"/>
          </w:tcPr>
          <w:p w:rsidR="00FA1F4E" w:rsidRDefault="003B2CFF">
            <w:pPr>
              <w:ind w:firstLine="0"/>
              <w:jc w:val="center"/>
              <w:rPr>
                <w:sz w:val="22"/>
              </w:rPr>
            </w:pPr>
            <w:r>
              <w:rPr>
                <w:sz w:val="22"/>
              </w:rPr>
              <w:t xml:space="preserve">Рекомендуемые нормативы </w:t>
            </w:r>
          </w:p>
        </w:tc>
        <w:tc>
          <w:tcPr>
            <w:tcW w:w="762" w:type="pct"/>
            <w:vAlign w:val="center"/>
          </w:tcPr>
          <w:p w:rsidR="00FA1F4E" w:rsidRDefault="003B2CFF">
            <w:pPr>
              <w:ind w:firstLine="0"/>
              <w:jc w:val="center"/>
              <w:rPr>
                <w:sz w:val="22"/>
              </w:rPr>
            </w:pPr>
            <w:r>
              <w:rPr>
                <w:sz w:val="22"/>
              </w:rPr>
              <w:t>Требуется на расчетный срок</w:t>
            </w:r>
          </w:p>
        </w:tc>
      </w:tr>
      <w:tr w:rsidR="00FA1F4E">
        <w:trPr>
          <w:trHeight w:val="20"/>
        </w:trPr>
        <w:tc>
          <w:tcPr>
            <w:tcW w:w="5000" w:type="pct"/>
            <w:gridSpan w:val="4"/>
            <w:vAlign w:val="center"/>
          </w:tcPr>
          <w:p w:rsidR="00FA1F4E" w:rsidRDefault="003B2CFF">
            <w:pPr>
              <w:pStyle w:val="afff3"/>
              <w:spacing w:before="0" w:after="0"/>
              <w:ind w:firstLine="0"/>
              <w:jc w:val="center"/>
              <w:rPr>
                <w:b/>
                <w:bCs/>
                <w:sz w:val="22"/>
                <w:szCs w:val="22"/>
              </w:rPr>
            </w:pPr>
            <w:r>
              <w:rPr>
                <w:b/>
                <w:bCs/>
                <w:sz w:val="22"/>
                <w:szCs w:val="22"/>
              </w:rPr>
              <w:t>Учреждения культурно-досугового типа</w:t>
            </w:r>
          </w:p>
        </w:tc>
      </w:tr>
      <w:tr w:rsidR="00FA1F4E">
        <w:trPr>
          <w:trHeight w:val="20"/>
        </w:trPr>
        <w:tc>
          <w:tcPr>
            <w:tcW w:w="1110" w:type="pct"/>
          </w:tcPr>
          <w:p w:rsidR="00FA1F4E" w:rsidRDefault="003B2CFF">
            <w:pPr>
              <w:ind w:firstLine="0"/>
              <w:rPr>
                <w:sz w:val="22"/>
              </w:rPr>
            </w:pPr>
            <w:r>
              <w:rPr>
                <w:sz w:val="22"/>
              </w:rPr>
              <w:t>Городской дом культуры</w:t>
            </w:r>
          </w:p>
        </w:tc>
        <w:tc>
          <w:tcPr>
            <w:tcW w:w="695" w:type="pct"/>
          </w:tcPr>
          <w:p w:rsidR="00FA1F4E" w:rsidRDefault="003B2CFF">
            <w:pPr>
              <w:ind w:firstLine="0"/>
              <w:jc w:val="center"/>
              <w:rPr>
                <w:sz w:val="22"/>
              </w:rPr>
            </w:pPr>
            <w:r>
              <w:rPr>
                <w:sz w:val="22"/>
              </w:rPr>
              <w:t>объект</w:t>
            </w:r>
          </w:p>
        </w:tc>
        <w:tc>
          <w:tcPr>
            <w:tcW w:w="2433" w:type="pct"/>
          </w:tcPr>
          <w:p w:rsidR="00FA1F4E" w:rsidRDefault="003B2CFF">
            <w:pPr>
              <w:ind w:firstLine="0"/>
              <w:rPr>
                <w:sz w:val="22"/>
              </w:rPr>
            </w:pPr>
            <w:r>
              <w:rPr>
                <w:sz w:val="22"/>
              </w:rPr>
              <w:t xml:space="preserve">городское поселение с населением менее 25 тыс. человек </w:t>
            </w:r>
            <w:r>
              <w:rPr>
                <w:rFonts w:cs="Times New Roman"/>
                <w:sz w:val="22"/>
              </w:rPr>
              <w:t>–</w:t>
            </w:r>
            <w:r>
              <w:rPr>
                <w:sz w:val="22"/>
              </w:rPr>
              <w:t xml:space="preserve"> 1 объект на 10 тыс. человек</w:t>
            </w:r>
          </w:p>
        </w:tc>
        <w:tc>
          <w:tcPr>
            <w:tcW w:w="762" w:type="pct"/>
          </w:tcPr>
          <w:p w:rsidR="00FA1F4E" w:rsidRDefault="003B2CFF">
            <w:pPr>
              <w:widowControl w:val="0"/>
              <w:ind w:firstLine="0"/>
              <w:jc w:val="center"/>
              <w:rPr>
                <w:sz w:val="22"/>
              </w:rPr>
            </w:pPr>
            <w:r>
              <w:rPr>
                <w:sz w:val="22"/>
              </w:rPr>
              <w:t>1</w:t>
            </w:r>
          </w:p>
        </w:tc>
      </w:tr>
      <w:tr w:rsidR="00FA1F4E">
        <w:trPr>
          <w:trHeight w:val="20"/>
        </w:trPr>
        <w:tc>
          <w:tcPr>
            <w:tcW w:w="1110" w:type="pct"/>
          </w:tcPr>
          <w:p w:rsidR="00FA1F4E" w:rsidRDefault="003B2CFF">
            <w:pPr>
              <w:ind w:firstLine="0"/>
              <w:rPr>
                <w:sz w:val="22"/>
              </w:rPr>
            </w:pPr>
            <w:r>
              <w:rPr>
                <w:sz w:val="22"/>
              </w:rPr>
              <w:t>Учреждения культуры клубного типа (клубы, дома культуры)</w:t>
            </w:r>
          </w:p>
        </w:tc>
        <w:tc>
          <w:tcPr>
            <w:tcW w:w="695" w:type="pct"/>
            <w:vAlign w:val="center"/>
          </w:tcPr>
          <w:p w:rsidR="00FA1F4E" w:rsidRDefault="003B2CFF">
            <w:pPr>
              <w:ind w:firstLine="0"/>
              <w:jc w:val="center"/>
              <w:rPr>
                <w:sz w:val="22"/>
              </w:rPr>
            </w:pPr>
            <w:r>
              <w:rPr>
                <w:sz w:val="22"/>
              </w:rPr>
              <w:t>зрительских мест</w:t>
            </w:r>
          </w:p>
        </w:tc>
        <w:tc>
          <w:tcPr>
            <w:tcW w:w="2433" w:type="pct"/>
            <w:vAlign w:val="center"/>
          </w:tcPr>
          <w:p w:rsidR="00FA1F4E" w:rsidRDefault="003B2CFF">
            <w:pPr>
              <w:widowControl w:val="0"/>
              <w:ind w:firstLine="0"/>
              <w:rPr>
                <w:sz w:val="22"/>
              </w:rPr>
            </w:pPr>
            <w:r>
              <w:rPr>
                <w:sz w:val="22"/>
              </w:rPr>
              <w:t xml:space="preserve">учреждения культуры клубного типа городских поселений при численности населения (человек): </w:t>
            </w:r>
          </w:p>
          <w:p w:rsidR="00FA1F4E" w:rsidRDefault="003B2CFF">
            <w:pPr>
              <w:widowControl w:val="0"/>
              <w:ind w:firstLine="0"/>
              <w:rPr>
                <w:sz w:val="22"/>
              </w:rPr>
            </w:pPr>
            <w:r>
              <w:rPr>
                <w:sz w:val="22"/>
              </w:rPr>
              <w:t>10000 – 19999 чел. в городском поселении – из расчета 70 мест на 1000 жителей</w:t>
            </w:r>
          </w:p>
        </w:tc>
        <w:tc>
          <w:tcPr>
            <w:tcW w:w="762" w:type="pct"/>
          </w:tcPr>
          <w:p w:rsidR="00FA1F4E" w:rsidRDefault="003B2CFF">
            <w:pPr>
              <w:ind w:firstLine="0"/>
              <w:jc w:val="center"/>
              <w:rPr>
                <w:sz w:val="22"/>
              </w:rPr>
            </w:pPr>
            <w:r>
              <w:rPr>
                <w:sz w:val="22"/>
              </w:rPr>
              <w:t>1386</w:t>
            </w:r>
          </w:p>
        </w:tc>
      </w:tr>
      <w:tr w:rsidR="00FA1F4E">
        <w:trPr>
          <w:trHeight w:val="20"/>
        </w:trPr>
        <w:tc>
          <w:tcPr>
            <w:tcW w:w="1110" w:type="pct"/>
          </w:tcPr>
          <w:p w:rsidR="00FA1F4E" w:rsidRDefault="003B2CFF">
            <w:pPr>
              <w:ind w:firstLine="0"/>
              <w:rPr>
                <w:sz w:val="22"/>
              </w:rPr>
            </w:pPr>
            <w:r>
              <w:rPr>
                <w:sz w:val="22"/>
              </w:rPr>
              <w:t>Общедоступная библиотека с детским отделением</w:t>
            </w:r>
          </w:p>
        </w:tc>
        <w:tc>
          <w:tcPr>
            <w:tcW w:w="695" w:type="pct"/>
          </w:tcPr>
          <w:p w:rsidR="00FA1F4E" w:rsidRDefault="003B2CFF">
            <w:pPr>
              <w:ind w:firstLine="0"/>
              <w:jc w:val="center"/>
              <w:rPr>
                <w:sz w:val="22"/>
              </w:rPr>
            </w:pPr>
            <w:r>
              <w:rPr>
                <w:sz w:val="22"/>
              </w:rPr>
              <w:t>объект</w:t>
            </w:r>
          </w:p>
        </w:tc>
        <w:tc>
          <w:tcPr>
            <w:tcW w:w="2433" w:type="pct"/>
          </w:tcPr>
          <w:p w:rsidR="00FA1F4E" w:rsidRDefault="003B2CFF">
            <w:pPr>
              <w:ind w:firstLine="0"/>
              <w:rPr>
                <w:sz w:val="22"/>
              </w:rPr>
            </w:pPr>
            <w:r>
              <w:rPr>
                <w:sz w:val="22"/>
              </w:rPr>
              <w:t>городское поселение - 1 на 10 тыс. человек</w:t>
            </w:r>
          </w:p>
        </w:tc>
        <w:tc>
          <w:tcPr>
            <w:tcW w:w="762" w:type="pct"/>
          </w:tcPr>
          <w:p w:rsidR="00FA1F4E" w:rsidRDefault="003B2CFF">
            <w:pPr>
              <w:widowControl w:val="0"/>
              <w:ind w:firstLine="0"/>
              <w:jc w:val="center"/>
              <w:rPr>
                <w:sz w:val="22"/>
              </w:rPr>
            </w:pPr>
            <w:r>
              <w:rPr>
                <w:sz w:val="22"/>
              </w:rPr>
              <w:t>1</w:t>
            </w:r>
          </w:p>
        </w:tc>
      </w:tr>
      <w:tr w:rsidR="00FA1F4E">
        <w:trPr>
          <w:trHeight w:val="20"/>
        </w:trPr>
        <w:tc>
          <w:tcPr>
            <w:tcW w:w="1110" w:type="pct"/>
          </w:tcPr>
          <w:p w:rsidR="00FA1F4E" w:rsidRDefault="003B2CFF">
            <w:pPr>
              <w:ind w:firstLine="0"/>
              <w:rPr>
                <w:sz w:val="22"/>
              </w:rPr>
            </w:pPr>
            <w:r>
              <w:rPr>
                <w:sz w:val="22"/>
              </w:rPr>
              <w:t>Музей</w:t>
            </w:r>
          </w:p>
        </w:tc>
        <w:tc>
          <w:tcPr>
            <w:tcW w:w="695" w:type="pct"/>
          </w:tcPr>
          <w:p w:rsidR="00FA1F4E" w:rsidRDefault="003B2CFF">
            <w:pPr>
              <w:ind w:firstLine="0"/>
              <w:jc w:val="center"/>
              <w:rPr>
                <w:sz w:val="22"/>
              </w:rPr>
            </w:pPr>
            <w:r>
              <w:rPr>
                <w:sz w:val="22"/>
              </w:rPr>
              <w:t>объект</w:t>
            </w:r>
          </w:p>
        </w:tc>
        <w:tc>
          <w:tcPr>
            <w:tcW w:w="2433" w:type="pct"/>
          </w:tcPr>
          <w:p w:rsidR="00FA1F4E" w:rsidRDefault="003B2CFF">
            <w:pPr>
              <w:ind w:firstLine="0"/>
              <w:rPr>
                <w:sz w:val="22"/>
              </w:rPr>
            </w:pPr>
            <w:r>
              <w:rPr>
                <w:sz w:val="22"/>
              </w:rPr>
              <w:t xml:space="preserve">городское поселение </w:t>
            </w:r>
            <w:r>
              <w:rPr>
                <w:rFonts w:cs="Times New Roman"/>
                <w:sz w:val="22"/>
              </w:rPr>
              <w:t>–</w:t>
            </w:r>
            <w:r>
              <w:rPr>
                <w:sz w:val="22"/>
              </w:rPr>
              <w:t xml:space="preserve"> 1 (независимо от количества жителей) краеведческий музей</w:t>
            </w:r>
          </w:p>
        </w:tc>
        <w:tc>
          <w:tcPr>
            <w:tcW w:w="762" w:type="pct"/>
          </w:tcPr>
          <w:p w:rsidR="00FA1F4E" w:rsidRDefault="003B2CFF">
            <w:pPr>
              <w:widowControl w:val="0"/>
              <w:ind w:firstLine="0"/>
              <w:jc w:val="center"/>
              <w:rPr>
                <w:sz w:val="22"/>
              </w:rPr>
            </w:pPr>
            <w:r>
              <w:rPr>
                <w:sz w:val="22"/>
              </w:rPr>
              <w:t>1</w:t>
            </w:r>
          </w:p>
        </w:tc>
      </w:tr>
      <w:tr w:rsidR="00FA1F4E">
        <w:trPr>
          <w:trHeight w:val="20"/>
        </w:trPr>
        <w:tc>
          <w:tcPr>
            <w:tcW w:w="5000" w:type="pct"/>
            <w:gridSpan w:val="4"/>
            <w:vAlign w:val="center"/>
          </w:tcPr>
          <w:p w:rsidR="00FA1F4E" w:rsidRDefault="003B2CFF">
            <w:pPr>
              <w:ind w:firstLine="0"/>
              <w:jc w:val="center"/>
              <w:rPr>
                <w:b/>
                <w:bCs/>
                <w:sz w:val="22"/>
              </w:rPr>
            </w:pPr>
            <w:r>
              <w:rPr>
                <w:b/>
                <w:bCs/>
                <w:sz w:val="22"/>
              </w:rPr>
              <w:t>Учреждения молодежной политики</w:t>
            </w:r>
          </w:p>
        </w:tc>
      </w:tr>
      <w:tr w:rsidR="00FA1F4E">
        <w:trPr>
          <w:trHeight w:val="20"/>
        </w:trPr>
        <w:tc>
          <w:tcPr>
            <w:tcW w:w="1110" w:type="pct"/>
          </w:tcPr>
          <w:p w:rsidR="00FA1F4E" w:rsidRDefault="003B2CFF">
            <w:pPr>
              <w:ind w:firstLine="0"/>
              <w:rPr>
                <w:sz w:val="22"/>
              </w:rPr>
            </w:pPr>
            <w:r>
              <w:rPr>
                <w:sz w:val="22"/>
              </w:rPr>
              <w:t xml:space="preserve">Учреждения органов по делам молодежи </w:t>
            </w:r>
            <w:r>
              <w:rPr>
                <w:sz w:val="22"/>
              </w:rPr>
              <w:lastRenderedPageBreak/>
              <w:t>(учреждения, осуществляющие работу с детьми и молодежью по месту жительства)</w:t>
            </w:r>
          </w:p>
        </w:tc>
        <w:tc>
          <w:tcPr>
            <w:tcW w:w="695" w:type="pct"/>
            <w:vAlign w:val="center"/>
          </w:tcPr>
          <w:p w:rsidR="00FA1F4E" w:rsidRDefault="003B2CFF">
            <w:pPr>
              <w:ind w:firstLine="0"/>
              <w:jc w:val="center"/>
              <w:rPr>
                <w:sz w:val="22"/>
              </w:rPr>
            </w:pPr>
            <w:r>
              <w:rPr>
                <w:sz w:val="22"/>
              </w:rPr>
              <w:lastRenderedPageBreak/>
              <w:t>объектов/</w:t>
            </w:r>
          </w:p>
          <w:p w:rsidR="00FA1F4E" w:rsidRDefault="003B2CFF">
            <w:pPr>
              <w:ind w:firstLine="0"/>
              <w:jc w:val="center"/>
              <w:rPr>
                <w:sz w:val="22"/>
              </w:rPr>
            </w:pPr>
            <w:r>
              <w:rPr>
                <w:sz w:val="22"/>
              </w:rPr>
              <w:t>площадь, м</w:t>
            </w:r>
            <w:r>
              <w:rPr>
                <w:sz w:val="22"/>
                <w:vertAlign w:val="superscript"/>
              </w:rPr>
              <w:t>2</w:t>
            </w:r>
          </w:p>
        </w:tc>
        <w:tc>
          <w:tcPr>
            <w:tcW w:w="2433" w:type="pct"/>
            <w:vAlign w:val="center"/>
          </w:tcPr>
          <w:p w:rsidR="00FA1F4E" w:rsidRDefault="003B2CFF">
            <w:pPr>
              <w:ind w:firstLine="0"/>
              <w:rPr>
                <w:sz w:val="22"/>
              </w:rPr>
            </w:pPr>
            <w:r>
              <w:rPr>
                <w:bCs/>
                <w:sz w:val="22"/>
              </w:rPr>
              <w:t xml:space="preserve">для городских поселений </w:t>
            </w:r>
            <w:r>
              <w:rPr>
                <w:rFonts w:cs="Times New Roman"/>
                <w:sz w:val="22"/>
              </w:rPr>
              <w:t>–</w:t>
            </w:r>
            <w:r>
              <w:rPr>
                <w:bCs/>
                <w:sz w:val="22"/>
              </w:rPr>
              <w:t xml:space="preserve"> одно многофункциональное учреждение и несколько (не </w:t>
            </w:r>
            <w:r>
              <w:rPr>
                <w:bCs/>
                <w:sz w:val="22"/>
              </w:rPr>
              <w:lastRenderedPageBreak/>
              <w:t xml:space="preserve">менее двух) многопрофильных клубов по месту жительства или различных узкопрофильных и (или) специализированных учреждений из расчета 25 кв. м общей площади на 1000 человек населения и не менее двух штатных единиц </w:t>
            </w:r>
            <w:r>
              <w:rPr>
                <w:rFonts w:cs="Times New Roman"/>
                <w:sz w:val="22"/>
              </w:rPr>
              <w:t>–</w:t>
            </w:r>
            <w:r>
              <w:rPr>
                <w:bCs/>
                <w:sz w:val="22"/>
              </w:rPr>
              <w:t xml:space="preserve"> специалистов, работающих в учреждении на постоянной основе, на каждые 1000 человек населения</w:t>
            </w:r>
          </w:p>
        </w:tc>
        <w:tc>
          <w:tcPr>
            <w:tcW w:w="762" w:type="pct"/>
          </w:tcPr>
          <w:p w:rsidR="00FA1F4E" w:rsidRDefault="003B2CFF">
            <w:pPr>
              <w:ind w:firstLine="0"/>
              <w:jc w:val="center"/>
              <w:rPr>
                <w:bCs/>
                <w:sz w:val="22"/>
              </w:rPr>
            </w:pPr>
            <w:r>
              <w:rPr>
                <w:sz w:val="22"/>
              </w:rPr>
              <w:lastRenderedPageBreak/>
              <w:t xml:space="preserve">495 </w:t>
            </w:r>
            <w:r>
              <w:rPr>
                <w:bCs/>
                <w:sz w:val="22"/>
              </w:rPr>
              <w:t>кв. м</w:t>
            </w:r>
          </w:p>
          <w:p w:rsidR="00FA1F4E" w:rsidRDefault="003B2CFF">
            <w:pPr>
              <w:ind w:firstLine="0"/>
              <w:jc w:val="center"/>
              <w:rPr>
                <w:sz w:val="22"/>
              </w:rPr>
            </w:pPr>
            <w:r>
              <w:rPr>
                <w:bCs/>
                <w:sz w:val="22"/>
              </w:rPr>
              <w:t xml:space="preserve">40 штатных </w:t>
            </w:r>
            <w:r>
              <w:rPr>
                <w:bCs/>
                <w:sz w:val="22"/>
              </w:rPr>
              <w:lastRenderedPageBreak/>
              <w:t>единиц</w:t>
            </w:r>
          </w:p>
        </w:tc>
      </w:tr>
    </w:tbl>
    <w:p w:rsidR="00FA1F4E" w:rsidRDefault="00FA1F4E">
      <w:pPr>
        <w:ind w:firstLine="0"/>
      </w:pPr>
    </w:p>
    <w:p w:rsidR="00FA1F4E" w:rsidRDefault="003B2CFF">
      <w:pPr>
        <w:pStyle w:val="afff3"/>
        <w:suppressAutoHyphens/>
        <w:spacing w:before="0" w:after="0"/>
        <w:ind w:firstLine="709"/>
      </w:pPr>
      <w:r>
        <w:t>С учетом проектной численности населения дополнительно на расчетный срок требуется увеличение проектной вместимости учреждений культуры клубного типа на 735 мест. Учреждения по работе с молодежью располагаются на базе существующих учреждений культуры, в том числе с учетом планируемого объекта местного значения муниципального района на расчетный срок минимально допустимый уровень обеспеченности населения учреждениями органов по делам молодежи будет обеспечен в полном объеме.</w:t>
      </w:r>
    </w:p>
    <w:p w:rsidR="00FA1F4E" w:rsidRDefault="003B2CFF">
      <w:pPr>
        <w:pStyle w:val="afff3"/>
        <w:suppressAutoHyphens/>
        <w:spacing w:before="0" w:after="0"/>
        <w:ind w:firstLine="709"/>
      </w:pPr>
      <w:r>
        <w:t xml:space="preserve">Норматив максимально допустимого уровня территориальной доступности для организаций культуры, объектов для работы с детьми и молодежью местного значения не установлен. </w:t>
      </w:r>
    </w:p>
    <w:p w:rsidR="00FA1F4E" w:rsidRDefault="003B2CFF">
      <w:pPr>
        <w:pStyle w:val="afff3"/>
        <w:suppressAutoHyphens/>
        <w:spacing w:before="0" w:after="0"/>
        <w:ind w:firstLine="709"/>
      </w:pPr>
      <w:r>
        <w:t>Размещение объектов торговли допускается в функциональных зонах общественно-делового назначения, жилых зонах, в том числе в виде встроенно-пристроенных помещений Расчетный показатель максимально допустимого уровня доступности для населения объектов торгово-бытового обслуживания в соответствии с пунктом 2.1.13 местных нормативов градостроительного проектирования составляет для зон среднеэтажной застройки: 500 м, для зон малоэтажной и блокированной застройки: 800 м.</w:t>
      </w:r>
    </w:p>
    <w:p w:rsidR="00FA1F4E" w:rsidRDefault="003B2CFF">
      <w:r>
        <w:t>В соответствии со сведениями, предоставленными отделом по культуре, молодежной политике и спорту администрации Лодейнопольского муниципального района, сведения о планируемых объектах местного значения поселения культурно-досугового (клубного) типа уточняются, в том числе:</w:t>
      </w:r>
    </w:p>
    <w:p w:rsidR="00FA1F4E" w:rsidRDefault="003B2CFF">
      <w:pPr>
        <w:pStyle w:val="afff"/>
        <w:numPr>
          <w:ilvl w:val="0"/>
          <w:numId w:val="44"/>
        </w:numPr>
      </w:pPr>
      <w:r>
        <w:t>из генерального плана исключаются предложения по реконструкции здания МКУ «Лодейнопольский дом народного творчества им. Ю.П. Захарова» в связи с планируемой реализацией мероприятий по капитальному ремонту в 2026 – 2030 гг.</w:t>
      </w:r>
    </w:p>
    <w:p w:rsidR="00FA1F4E" w:rsidRDefault="003B2CFF">
      <w:r>
        <w:t>Сведения о планируемых объектах культурно-досугового (клубного) типа:</w:t>
      </w:r>
    </w:p>
    <w:p w:rsidR="00FA1F4E" w:rsidRDefault="003B2CFF">
      <w:pPr>
        <w:pStyle w:val="afff"/>
        <w:numPr>
          <w:ilvl w:val="0"/>
          <w:numId w:val="44"/>
        </w:numPr>
      </w:pPr>
      <w:r>
        <w:t>строительство нового корпуса МКУ «Лодейнопольский дом народного творчества им. Ю.П. Захарова» на 600 мест на прилегающей территории (после 2030 года);</w:t>
      </w:r>
    </w:p>
    <w:p w:rsidR="00FA1F4E" w:rsidRDefault="003B2CFF">
      <w:pPr>
        <w:pStyle w:val="afff"/>
        <w:numPr>
          <w:ilvl w:val="0"/>
          <w:numId w:val="44"/>
        </w:numPr>
      </w:pPr>
      <w:r>
        <w:t>реконструкция Дома офицеров (2026 – 2030 гг.), уточняется наименование объекта.</w:t>
      </w:r>
    </w:p>
    <w:p w:rsidR="00FA1F4E" w:rsidRDefault="003B2CFF">
      <w:r>
        <w:t>В рамках государственной программы Ленинградской области «Развитие культуры в Ленинградской области» в 2022 году реализуется мероприятие в области культуры «Реконструкция детской школы искусств по адресу: г. Лодейное поле, пр. Ленина, д. 35». Данный объект учитывается как строящийся объект и исключается из перечня планируемых объектов.</w:t>
      </w:r>
    </w:p>
    <w:p w:rsidR="00FA1F4E" w:rsidRDefault="003B2CFF">
      <w:r>
        <w:t>В части уточнения сведений о планируемых объектах культурно-просветительного назначения:</w:t>
      </w:r>
    </w:p>
    <w:p w:rsidR="00FA1F4E" w:rsidRDefault="003B2CFF">
      <w:pPr>
        <w:pStyle w:val="afff"/>
        <w:numPr>
          <w:ilvl w:val="0"/>
          <w:numId w:val="44"/>
        </w:numPr>
      </w:pPr>
      <w:r>
        <w:t>из генерального плана исключаются предложения по строительству здания межпоселенческой библиотеки в связи с тем, что объект является объектом местного значения муниципального района в соответствии со схемой территориального планирования Лодейнопольского муниципального района Ленинградской области.</w:t>
      </w:r>
    </w:p>
    <w:p w:rsidR="00FA1F4E" w:rsidRDefault="003B2CFF">
      <w:r>
        <w:t>В части уточнения сведений о планируемых объектах молодежной политики:</w:t>
      </w:r>
    </w:p>
    <w:p w:rsidR="00FA1F4E" w:rsidRDefault="003B2CFF">
      <w:pPr>
        <w:pStyle w:val="afff"/>
        <w:numPr>
          <w:ilvl w:val="0"/>
          <w:numId w:val="44"/>
        </w:numPr>
      </w:pPr>
      <w:r>
        <w:t>из генерального плана исключаются предложения по строительству молодежного центра (2024 – 2030 гг.) в связи с тем, что объект является объектом местного значения муниципального района в соответствии со схемой территориального планирования Лодейнопольского муниципального района Ленинградской области.</w:t>
      </w:r>
    </w:p>
    <w:p w:rsidR="00FA1F4E" w:rsidRDefault="003B2CFF">
      <w:r>
        <w:lastRenderedPageBreak/>
        <w:t>В связи с отсутствием изменений в нормативах градостроительного проектирования уточнение параметров планируемых объектов не требуется.</w:t>
      </w:r>
    </w:p>
    <w:p w:rsidR="00FA1F4E" w:rsidRDefault="00FA1F4E"/>
    <w:p w:rsidR="00FA1F4E" w:rsidRDefault="003B2CFF">
      <w:pPr>
        <w:rPr>
          <w:b/>
        </w:rPr>
      </w:pPr>
      <w:r>
        <w:rPr>
          <w:b/>
        </w:rPr>
        <w:t>Объекты озеленения общего пользования</w:t>
      </w:r>
    </w:p>
    <w:p w:rsidR="00FA1F4E" w:rsidRDefault="003B2CFF">
      <w:r>
        <w:rPr>
          <w:bCs/>
        </w:rPr>
        <w:t>При подготовке изменений в генеральный план</w:t>
      </w:r>
      <w:r>
        <w:t xml:space="preserve"> </w:t>
      </w:r>
      <w:r>
        <w:rPr>
          <w:bCs/>
        </w:rPr>
        <w:t>Лодейнопольского городского поселения Лодейнопольского муниципального района Ленинградской области применительно к городу Лодейное Поле изменения в</w:t>
      </w:r>
      <w:r>
        <w:t xml:space="preserve"> сведения и параметры планируемых объектов озеленения общего пользования не вносятся.</w:t>
      </w:r>
    </w:p>
    <w:p w:rsidR="00FA1F4E" w:rsidRDefault="003B2CFF">
      <w:pPr>
        <w:rPr>
          <w:rFonts w:cs="Times New Roman"/>
          <w:szCs w:val="24"/>
          <w:lang w:eastAsia="ru-RU"/>
        </w:rPr>
      </w:pPr>
      <w:r>
        <w:rPr>
          <w:rFonts w:cs="Times New Roman"/>
          <w:szCs w:val="24"/>
          <w:lang w:eastAsia="ru-RU"/>
        </w:rPr>
        <w:t>Озелененные территории общего пользования представлены мемориальным парком («Сквер Корабелов») и парком «Свирская Победа», которые включают объекты культурного наследия, парк «Свирская Победа» является объектом культурного наследия федерального значения. Генеральным планом предусмотрено создание и благоустройство озелененных территорий общего пользования в виде парка массового отдыха населения в южной части города. Данное мероприятие возможно реализовать в существующих границах населенного пункта за счет благоустройства территорий естественного природного ландшафта частично покрытого лесной растительностью, прилегающих к оз. Озерко.</w:t>
      </w:r>
    </w:p>
    <w:p w:rsidR="00FA1F4E" w:rsidRDefault="003B2CFF">
      <w:r>
        <w:t>Нормативную площадь озелененных территорий общего пользования в границах населенных пунктов следует принимать в соответствии с пунктом 2.6.1 местных нормативов градостроительного проектирования. Нормативами установлены параметры площади озелененных территорий общего пользования для городских населенных пунктов с численностью населения до 20 тыс. человек из расчета 8 кв. м площади озелененных территорий общего пользования на 1 человека. Таким образом, на расчетный срок в границах города Лодейное Поле требуется не менее 158,4 га общей площади объектов озеленения общего пользования. Общая площадь в границах функциональной зоны озелененных территорий общего пользования (лесопарки, парки, сады, скверы, бульвары) составляет 211 га.</w:t>
      </w:r>
    </w:p>
    <w:p w:rsidR="00FA1F4E" w:rsidRDefault="00FA1F4E"/>
    <w:p w:rsidR="00FA1F4E" w:rsidRDefault="003B2CFF">
      <w:pPr>
        <w:rPr>
          <w:b/>
        </w:rPr>
      </w:pPr>
      <w:r>
        <w:rPr>
          <w:b/>
        </w:rPr>
        <w:t>Объекты в области</w:t>
      </w:r>
      <w:r>
        <w:t xml:space="preserve"> </w:t>
      </w:r>
      <w:r>
        <w:rPr>
          <w:b/>
        </w:rPr>
        <w:t>предупреждения чрезвычайных ситуаций межмуниципального и регионального характера, стихийных бедствий, эпидемий и ликвидации их последствий</w:t>
      </w:r>
    </w:p>
    <w:p w:rsidR="00FA1F4E" w:rsidRDefault="003B2CFF">
      <w:r>
        <w:t>Территория города Лодейное Поле обслуживается действующим пожарным депо на 2 автомобиля (132 пожарная часть отряда государственной противопожарной службы Лодейнопольского района ГКУ «Леноблпожспас»), расположенного по адресу: улица Урицкого, 15.</w:t>
      </w:r>
    </w:p>
    <w:p w:rsidR="00FA1F4E" w:rsidRDefault="003B2CFF">
      <w:r>
        <w:rPr>
          <w:rFonts w:eastAsia="Times New Roman" w:cs="Times New Roman"/>
          <w:szCs w:val="24"/>
          <w:lang w:eastAsia="ru-RU"/>
        </w:rPr>
        <w:t xml:space="preserve">На территории </w:t>
      </w:r>
      <w:r>
        <w:t xml:space="preserve">города Лодейное Поле расположен объект аварийно-спасательных служб: </w:t>
      </w:r>
      <w:r>
        <w:rPr>
          <w:rFonts w:eastAsia="Times New Roman" w:cs="Times New Roman"/>
          <w:szCs w:val="24"/>
          <w:lang w:eastAsia="ru-RU"/>
        </w:rPr>
        <w:t>Слип (площадка для спуска и подъема плавательных средств, судов на воздушной подушке на 9 единиц водной техники) и причал. Назначение: обслуживание судов аварийных служб.</w:t>
      </w:r>
    </w:p>
    <w:p w:rsidR="00FA1F4E" w:rsidRDefault="003B2CFF">
      <w:r>
        <w:t>Объекты пожарной безопасности регионального значения в соответствии со схемой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на территории Лодейнопольского муниципального района не планируются.</w:t>
      </w:r>
    </w:p>
    <w:p w:rsidR="00FA1F4E" w:rsidRDefault="003B2CFF">
      <w:r>
        <w:t>С учетом рекомендаций, содержащихся в материалах по обоснованию схемы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(книга 1 и приложение 1) размещение новых объектов пожарной безопасности местного значения на территории, применительно к которой вносятся изменения в генеральный план, не требуется. 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предлагаются к исключению из генерального плана следующие планируемые объекты местного значения поселения (</w:t>
      </w:r>
      <w:r>
        <w:rPr>
          <w:bCs/>
        </w:rPr>
        <w:t>исключаются сведения об объектах, которые не являются объектами местного значения поселения</w:t>
      </w:r>
      <w:r>
        <w:t>):</w:t>
      </w:r>
    </w:p>
    <w:p w:rsidR="00FA1F4E" w:rsidRDefault="003B2CFF">
      <w:pPr>
        <w:pStyle w:val="afff"/>
        <w:numPr>
          <w:ilvl w:val="0"/>
          <w:numId w:val="46"/>
        </w:numPr>
      </w:pPr>
      <w:r>
        <w:t xml:space="preserve">строительство пожарного депо </w:t>
      </w:r>
      <w:r>
        <w:rPr>
          <w:lang w:val="en-US"/>
        </w:rPr>
        <w:t>II</w:t>
      </w:r>
      <w:r>
        <w:t xml:space="preserve"> типа на 6 пожарных автомобилей в г. Лодейное Поле;</w:t>
      </w:r>
    </w:p>
    <w:p w:rsidR="00FA1F4E" w:rsidRDefault="003B2CFF">
      <w:pPr>
        <w:pStyle w:val="afff"/>
        <w:numPr>
          <w:ilvl w:val="0"/>
          <w:numId w:val="46"/>
        </w:numPr>
      </w:pPr>
      <w:r>
        <w:lastRenderedPageBreak/>
        <w:t>реконструкция существующего пожарного депо с увеличением количества пожарных автомобилей с 2 до 6 единиц в г. Лодейное Поле.</w:t>
      </w:r>
    </w:p>
    <w:p w:rsidR="00FA1F4E" w:rsidRDefault="00FA1F4E"/>
    <w:p w:rsidR="00FA1F4E" w:rsidRDefault="003B2CFF">
      <w:pPr>
        <w:rPr>
          <w:b/>
        </w:rPr>
      </w:pPr>
      <w:r>
        <w:rPr>
          <w:b/>
          <w:bCs/>
        </w:rPr>
        <w:t>Объекты в области обеспечения противопаводковых мероприятий</w:t>
      </w:r>
    </w:p>
    <w:p w:rsidR="00FA1F4E" w:rsidRDefault="003B2CFF">
      <w:pPr>
        <w:rPr>
          <w:bCs/>
        </w:rPr>
      </w:pPr>
      <w:r>
        <w:rPr>
          <w:bCs/>
        </w:rPr>
        <w:t>При подготовке изменений в генеральный план</w:t>
      </w:r>
      <w:r>
        <w:t xml:space="preserve"> </w:t>
      </w:r>
      <w:r>
        <w:rPr>
          <w:bCs/>
        </w:rPr>
        <w:t xml:space="preserve">Лодейнопольского городского поселения Лодейнопольского муниципального района Ленинградской области применительно к городу Лодейное Поле </w:t>
      </w:r>
      <w:r>
        <w:t>вносятся</w:t>
      </w:r>
      <w:r>
        <w:rPr>
          <w:bCs/>
        </w:rPr>
        <w:t xml:space="preserve"> следующие изменения в</w:t>
      </w:r>
      <w:r>
        <w:t xml:space="preserve"> сведения о планируемых объектах </w:t>
      </w:r>
      <w:r>
        <w:rPr>
          <w:bCs/>
        </w:rPr>
        <w:t>в области обеспечения противопаводковых мероприятий:</w:t>
      </w:r>
    </w:p>
    <w:p w:rsidR="00FA1F4E" w:rsidRDefault="003B2CFF">
      <w:pPr>
        <w:pStyle w:val="afff"/>
        <w:numPr>
          <w:ilvl w:val="0"/>
          <w:numId w:val="47"/>
        </w:numPr>
      </w:pPr>
      <w:r>
        <w:rPr>
          <w:bCs/>
        </w:rPr>
        <w:t xml:space="preserve">из положений и территориальном планировании исключаются сведения об объектах, в отношении которых требуется уточнение видов, параметров и местоположения на основании проектной документации с проведением дополнительных инженерно-экологических изысканий: </w:t>
      </w:r>
      <w:r>
        <w:t xml:space="preserve">сооружения для защиты от подтопления территорий и </w:t>
      </w:r>
      <w:r>
        <w:rPr>
          <w:bCs/>
        </w:rPr>
        <w:t>берегоукрепительные сооружения, планируемые к строительству.</w:t>
      </w:r>
    </w:p>
    <w:p w:rsidR="00FA1F4E" w:rsidRDefault="003B2CFF">
      <w:pPr>
        <w:pStyle w:val="afff3"/>
        <w:spacing w:before="0" w:after="0"/>
        <w:ind w:firstLine="709"/>
      </w:pPr>
      <w:r>
        <w:t xml:space="preserve">В соответствии с пунктом 13.6 СП 42.13330.2016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w:t>
      </w:r>
      <w:r>
        <w:rPr>
          <w:sz w:val="22"/>
        </w:rPr>
        <w:t>–</w:t>
      </w:r>
      <w:r>
        <w:t xml:space="preserve">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w:t>
      </w:r>
    </w:p>
    <w:p w:rsidR="00FA1F4E" w:rsidRDefault="003B2CFF">
      <w:pPr>
        <w:pStyle w:val="afff3"/>
        <w:spacing w:before="0" w:after="0"/>
        <w:ind w:firstLine="709"/>
      </w:pPr>
      <w:r>
        <w:t>Работы на водных объектах, находящихся в федеральной собственности в силу статей 9 и 11 Водного кодекса Российской Федерации выполняются при приобретении права пользования поверхностными водными объектами, находящимися в федеральной собственности, собственности субъекта Российской Федерации или муниципальной собственности на основании договоров водопользования или решения о предоставлении водного объекта в пользование, которые оформляется в порядке, установленном главой 3 Водного кодекса Российской Федерации, а также иными нормативными правовыми актами.</w:t>
      </w:r>
    </w:p>
    <w:p w:rsidR="00FA1F4E" w:rsidRDefault="003B2CFF">
      <w:pPr>
        <w:pStyle w:val="aff2"/>
        <w:widowControl w:val="0"/>
        <w:spacing w:before="0" w:beforeAutospacing="0" w:after="0" w:afterAutospacing="0"/>
        <w:ind w:firstLine="709"/>
        <w:jc w:val="both"/>
      </w:pPr>
      <w:r>
        <w:t>С учетом определения Верховного Суда Российской Федерации от 8 июня 2017 года № 51-КГ17-3 размещение в акватории водного объекта, находящегося в федеральной собственности и расположенного на территориях двух и более субъектов Российской Федерации, гидротехнических сооружений, равно как и осуществление действий по их обслуживанию, восстановлению целостности и обустройству инженерной защиты, должно проводиться с привлечением собственника этого водного объекта либо уполномоченного им лица.</w:t>
      </w:r>
    </w:p>
    <w:p w:rsidR="00FA1F4E" w:rsidRDefault="003B2CFF">
      <w:pPr>
        <w:pStyle w:val="aff2"/>
        <w:widowControl w:val="0"/>
        <w:spacing w:before="0" w:beforeAutospacing="0" w:after="0" w:afterAutospacing="0"/>
        <w:ind w:firstLine="709"/>
        <w:jc w:val="both"/>
      </w:pPr>
      <w:r>
        <w:t>Разработка мероприятий инженерной защиты территорий и объектов от затопления, подтопления, включающие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осуществляется на основе инженерных изысканий, выполняемых специализированными организациями.</w:t>
      </w:r>
    </w:p>
    <w:p w:rsidR="00FA1F4E" w:rsidRDefault="003B2CFF">
      <w:pPr>
        <w:pStyle w:val="aff2"/>
        <w:widowControl w:val="0"/>
        <w:spacing w:before="0" w:beforeAutospacing="0" w:after="0" w:afterAutospacing="0"/>
        <w:ind w:firstLine="709"/>
        <w:jc w:val="both"/>
      </w:pPr>
      <w:r>
        <w:t>Работы по определению и реализации мероприятий по защите земельных участков и объектов недвижимости от затопления осуществляются собственниками земельных участков и объектов недвижимости.</w:t>
      </w:r>
    </w:p>
    <w:p w:rsidR="00FA1F4E" w:rsidRDefault="00FA1F4E"/>
    <w:p w:rsidR="00FA1F4E" w:rsidRDefault="003B2CFF">
      <w:r>
        <w:t xml:space="preserve">Средства инженерной защиты территорий от затопления и подтопления приведены в СП 104.13330.2016 «Свод правил. Инженерная защита территории от затопления и подтопления», и включают в себя: </w:t>
      </w:r>
    </w:p>
    <w:p w:rsidR="00FA1F4E" w:rsidRDefault="003B2CFF">
      <w:pPr>
        <w:pStyle w:val="afff"/>
        <w:numPr>
          <w:ilvl w:val="0"/>
          <w:numId w:val="48"/>
        </w:numPr>
      </w:pPr>
      <w:r>
        <w:t xml:space="preserve">обвалование территории; </w:t>
      </w:r>
    </w:p>
    <w:p w:rsidR="00FA1F4E" w:rsidRDefault="003B2CFF">
      <w:pPr>
        <w:pStyle w:val="afff"/>
        <w:numPr>
          <w:ilvl w:val="0"/>
          <w:numId w:val="48"/>
        </w:numPr>
      </w:pPr>
      <w:r>
        <w:t xml:space="preserve">искусственное повышение поверхности территории; </w:t>
      </w:r>
    </w:p>
    <w:p w:rsidR="00FA1F4E" w:rsidRDefault="003B2CFF">
      <w:pPr>
        <w:pStyle w:val="afff"/>
        <w:numPr>
          <w:ilvl w:val="0"/>
          <w:numId w:val="48"/>
        </w:numPr>
      </w:pPr>
      <w:r>
        <w:t xml:space="preserve">регулирование и отвод поверхностных вод с защищаемой территории; </w:t>
      </w:r>
    </w:p>
    <w:p w:rsidR="00FA1F4E" w:rsidRDefault="003B2CFF">
      <w:pPr>
        <w:pStyle w:val="afff"/>
        <w:numPr>
          <w:ilvl w:val="0"/>
          <w:numId w:val="48"/>
        </w:numPr>
      </w:pPr>
      <w:r>
        <w:t xml:space="preserve">устройство дренажных систем. </w:t>
      </w:r>
    </w:p>
    <w:p w:rsidR="00FA1F4E" w:rsidRDefault="003B2CFF">
      <w:r>
        <w:t xml:space="preserve">К сооружениям инженерной защиты территорий от затопления и подтопления относятся: дамбы обвалования, дренажи, дренажные и водосбросные сети, нагорные водосбросные каналы, быстротоки и перепады, трубопроводы и насосные станции. </w:t>
      </w:r>
    </w:p>
    <w:p w:rsidR="00FA1F4E" w:rsidRDefault="003B2CFF">
      <w:r>
        <w:lastRenderedPageBreak/>
        <w:t>В соответствии с положениями Свода правил все средства защиты от паводков и наводнений относятся к одной укрупненной группе – дамбы обвалования.</w:t>
      </w:r>
    </w:p>
    <w:p w:rsidR="00FA1F4E" w:rsidRDefault="003B2CFF">
      <w:r>
        <w:t>В соответствии с Методическими рекомендациями органам исполнительной власти субъектов Российской Федерации по применению технических решений для защиты от паводков и наводнений, разработанными рабочей группой Департамента образовательной и научно-технической деятельности МЧС России, ФГБУ ВНИИ ГОЧС (ФЦ) и Академией гражданской защиты МЧС России во исполнение пункта 9 раздела IV Плана научно-исследовательских и опытно-конструкторских работ МЧС России на 2019 год и плановый период 2020 и 2021 годов, утвержденного приказом МЧС России от 2 апреля 2019 года № 195, для инженерной защиты населения и территорий при чрезвычайных ситуациях, связанных с опасными гидрологическими явлениями применяются следующие технические решения (основные средства инженерной защиты от паводков и наводнений): модульные защитные барьеры и дамбы, защитные гидротехнические сооружения, которые используются в качестве временных и постоянных гидротехнических сооружений для защиты объектов в береговой зоне от затопления, для возведения временных преград, водоподпорных плотин, заделки проранов, для временного хранения воды, а также габионы (укрепления откосов: травосеяние, одерновка, посадка кустарников, защитные слои с использованием геотекстиля, сборные железобетонные решетки, пневмонабрызг, монолитные цементногрунтовые покрытия и решетки, гибкие железобетонные плиты, каменная наброска и другие) и иные конструкции.</w:t>
      </w:r>
    </w:p>
    <w:p w:rsidR="00FA1F4E" w:rsidRDefault="003B2CFF">
      <w:r>
        <w:t xml:space="preserve">Выбор средств защиты от паводков и наводнений конкретного типа необходимо осуществлять по критерию эффективности, характеризующей качественную меру средств защиты. Под ним понимается условие, на основе которого показатель эффективности отражает меру соответствия достигнутых результатов требуемым значениям в отношении принятого критерия. На основании анализа и обработки результатов экспертной оценки защитных сооружений от паводков и наводнений органам исполнительной власти субъектов Российской Федерации, органам местного самоуправления рекомендуется: </w:t>
      </w:r>
    </w:p>
    <w:p w:rsidR="00FA1F4E" w:rsidRDefault="003B2CFF">
      <w:pPr>
        <w:pStyle w:val="afff"/>
        <w:numPr>
          <w:ilvl w:val="0"/>
          <w:numId w:val="49"/>
        </w:numPr>
      </w:pPr>
      <w:r>
        <w:t xml:space="preserve">создать в регионах с наибольшей опасностью наводнений запасы материально-технических средств исходя из лимитов бюджетных обязательств; </w:t>
      </w:r>
    </w:p>
    <w:p w:rsidR="00FA1F4E" w:rsidRDefault="003B2CFF">
      <w:pPr>
        <w:pStyle w:val="afff"/>
        <w:numPr>
          <w:ilvl w:val="0"/>
          <w:numId w:val="49"/>
        </w:numPr>
      </w:pPr>
      <w:r>
        <w:t>при угрозе ЧС, связанной с наводнениями, для защиты населения и территорий следует использовать средства инженерной защиты и материалы.</w:t>
      </w:r>
    </w:p>
    <w:p w:rsidR="00FA1F4E" w:rsidRDefault="003B2CFF">
      <w:r>
        <w:t>На территориях с высокой степенью опасности предлагается основное внимание сосредоточить на технических средствах защиты, которые в дальнейшем будут долговременно находиться в эксплуатации. На территориях со средней степенью опасности – использовать в основном резино-технические изделия.</w:t>
      </w:r>
    </w:p>
    <w:p w:rsidR="00FA1F4E" w:rsidRDefault="00FA1F4E"/>
    <w:p w:rsidR="00FA1F4E" w:rsidRDefault="003B2CFF">
      <w:pPr>
        <w:pStyle w:val="20"/>
      </w:pPr>
      <w:bookmarkStart w:id="26" w:name="_Toc106831761"/>
      <w:r>
        <w:t>7.4. Уточнение параметров планируемых объектов коммунальной инфраструктуры</w:t>
      </w:r>
      <w:bookmarkEnd w:id="26"/>
    </w:p>
    <w:p w:rsidR="00FA1F4E" w:rsidRDefault="00FA1F4E"/>
    <w:p w:rsidR="00FA1F4E" w:rsidRDefault="003B2CFF">
      <w:r>
        <w:t>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учтены государственные программы Ленинградской области, предусматривающие создание объектов регионального значения, объектов местного значения.</w:t>
      </w:r>
    </w:p>
    <w:p w:rsidR="00FA1F4E" w:rsidRDefault="003B2CFF">
      <w:r>
        <w:t>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2023 году планируется реализация мероприятия в области жилищного строительства «Инженерная инфраструктура к земельным участкам под ИЖС, массив мкр. Каномский 1 (второй этап), Лодейнопольское городское поселение Лодейнопольского муниципального района». В соответствии с постановлением Правительства Российской Федерации от 12 ноября 2020 года № 1816 для строительства, реконструкции данных линейных объектов не требуется подготовка документации по планировке территории.</w:t>
      </w:r>
    </w:p>
    <w:p w:rsidR="00FA1F4E" w:rsidRDefault="003B2CFF">
      <w:r>
        <w:t xml:space="preserve">В рамках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 2022 году планируется реализация </w:t>
      </w:r>
      <w:r>
        <w:lastRenderedPageBreak/>
        <w:t>мероприятия в области водоснабжения и водоотведения «Реконструкция водоочистных сооружений в г. Лодейное поле Лодейнопольского муниципального района Ленинградской области».</w:t>
      </w:r>
    </w:p>
    <w:p w:rsidR="00FA1F4E" w:rsidRDefault="003B2CFF">
      <w:r>
        <w:t>В рамках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 2022 году реализуется мероприятие в области газоснабжения «Распределительный газопровод по Ленинградскому ш., ул. Ленина, пер. Паромный, Почтовый г. Лодейное поле».</w:t>
      </w:r>
    </w:p>
    <w:p w:rsidR="00FA1F4E" w:rsidRDefault="00FA1F4E"/>
    <w:p w:rsidR="00FA1F4E" w:rsidRDefault="003B2CFF">
      <w:pPr>
        <w:rPr>
          <w:b/>
        </w:rPr>
      </w:pPr>
      <w:r>
        <w:rPr>
          <w:b/>
        </w:rPr>
        <w:t>Объекты электроснабжения</w:t>
      </w:r>
    </w:p>
    <w:p w:rsidR="00FA1F4E" w:rsidRDefault="003B2CFF">
      <w:r>
        <w:t>Центрами питания потребителей города Лодейное Поле являются:</w:t>
      </w:r>
    </w:p>
    <w:p w:rsidR="00FA1F4E" w:rsidRDefault="003B2CFF">
      <w:pPr>
        <w:pStyle w:val="afff"/>
        <w:numPr>
          <w:ilvl w:val="0"/>
          <w:numId w:val="50"/>
        </w:numPr>
      </w:pPr>
      <w:r>
        <w:t>ПС 220/110 кВ Лодейнопольская, 2х63 МВ∙А;</w:t>
      </w:r>
    </w:p>
    <w:p w:rsidR="00FA1F4E" w:rsidRDefault="003B2CFF">
      <w:pPr>
        <w:pStyle w:val="afff"/>
        <w:numPr>
          <w:ilvl w:val="0"/>
          <w:numId w:val="50"/>
        </w:numPr>
      </w:pPr>
      <w:r>
        <w:t>ПС 35 кВ Лодейнопольская (ПС 31).</w:t>
      </w:r>
    </w:p>
    <w:p w:rsidR="00FA1F4E" w:rsidRDefault="00FA1F4E">
      <w:pPr>
        <w:ind w:firstLine="0"/>
      </w:pPr>
    </w:p>
    <w:p w:rsidR="00FA1F4E" w:rsidRDefault="003B2CFF" w:rsidP="00C874DA">
      <w:pPr>
        <w:keepNext/>
        <w:ind w:firstLine="0"/>
        <w:jc w:val="center"/>
      </w:pPr>
      <w:r>
        <w:t>Рисунок 4. Фрагмент карты-схемы существующих и намечаемых в период до 2025 года электрических сетей 35 кВ и выше Ленинградской области (материалы Схемы и программы развития электроэнергетики Ленинградской области на 2021 - 2025 годы, утвержденных распоряжением Губернатора Ленинградской области от 30 апреля 2021 года № 507-рг)</w:t>
      </w:r>
    </w:p>
    <w:p w:rsidR="00FA1F4E" w:rsidRDefault="00595864" w:rsidP="00C874DA">
      <w:pPr>
        <w:keepNext/>
        <w:ind w:firstLine="0"/>
        <w:jc w:val="center"/>
      </w:pPr>
      <w:r>
        <w:pict>
          <v:shape id="_x0000_i1027" type="#_x0000_t75" style="width:296.4pt;height:331pt">
            <v:imagedata r:id="rId12" o:title="СИПР"/>
          </v:shape>
        </w:pict>
      </w:r>
    </w:p>
    <w:p w:rsidR="00FA1F4E" w:rsidRDefault="00FA1F4E">
      <w:pPr>
        <w:ind w:firstLine="0"/>
      </w:pPr>
    </w:p>
    <w:p w:rsidR="00FA1F4E" w:rsidRDefault="003B2CFF">
      <w:r>
        <w:t>По территории, применительно к которой подготовлен генеральный план, проходят следующие высоковольтные линии электропередачи:</w:t>
      </w:r>
    </w:p>
    <w:p w:rsidR="00FA1F4E" w:rsidRDefault="003B2CFF">
      <w:pPr>
        <w:pStyle w:val="afff"/>
        <w:numPr>
          <w:ilvl w:val="0"/>
          <w:numId w:val="51"/>
        </w:numPr>
      </w:pPr>
      <w:r>
        <w:t>на подстанцию 35 кВ Лодейнопольская (ПС 31):</w:t>
      </w:r>
    </w:p>
    <w:p w:rsidR="00FA1F4E" w:rsidRDefault="003B2CFF">
      <w:pPr>
        <w:pStyle w:val="afff"/>
        <w:numPr>
          <w:ilvl w:val="0"/>
          <w:numId w:val="52"/>
        </w:numPr>
      </w:pPr>
      <w:r>
        <w:t>ВЛ 35 кВ Лодейнопольская – Свирская;</w:t>
      </w:r>
    </w:p>
    <w:p w:rsidR="00FA1F4E" w:rsidRDefault="003B2CFF">
      <w:pPr>
        <w:pStyle w:val="afff"/>
        <w:numPr>
          <w:ilvl w:val="0"/>
          <w:numId w:val="52"/>
        </w:numPr>
      </w:pPr>
      <w:r>
        <w:t>ВЛ 35 кВ Алеховщинская (ПС 323) Лодейнопольская (реконструкция);</w:t>
      </w:r>
    </w:p>
    <w:p w:rsidR="00FA1F4E" w:rsidRDefault="003B2CFF">
      <w:pPr>
        <w:pStyle w:val="afff"/>
        <w:numPr>
          <w:ilvl w:val="0"/>
          <w:numId w:val="52"/>
        </w:numPr>
      </w:pPr>
      <w:r>
        <w:t>ВЛ 35 кВ Нижне-Свирская ГЭС (ГЭС-9) – Лодейнопольская;</w:t>
      </w:r>
    </w:p>
    <w:p w:rsidR="00FA1F4E" w:rsidRDefault="003B2CFF">
      <w:pPr>
        <w:pStyle w:val="afff"/>
        <w:numPr>
          <w:ilvl w:val="0"/>
          <w:numId w:val="52"/>
        </w:numPr>
      </w:pPr>
      <w:r>
        <w:t>ВЛ 35 кВ Нижне-Свирская ГЭС (ГЭС-9) – Лодейнопольская.</w:t>
      </w:r>
    </w:p>
    <w:p w:rsidR="00FA1F4E" w:rsidRDefault="003B2CFF">
      <w:pPr>
        <w:pStyle w:val="afff"/>
        <w:numPr>
          <w:ilvl w:val="0"/>
          <w:numId w:val="51"/>
        </w:numPr>
      </w:pPr>
      <w:r>
        <w:t>на подстанцию 220 кВ (№ 266) «Лодейнопольская»:</w:t>
      </w:r>
    </w:p>
    <w:p w:rsidR="00FA1F4E" w:rsidRDefault="003B2CFF">
      <w:pPr>
        <w:pStyle w:val="afff"/>
        <w:numPr>
          <w:ilvl w:val="0"/>
          <w:numId w:val="52"/>
        </w:numPr>
      </w:pPr>
      <w:r>
        <w:lastRenderedPageBreak/>
        <w:t>ВЛ 220 кВ Нижне-Свирская ГЭС (ГЭС-9) – Заостровье с отпайкой (отпайка - на ПС 220 кВ Лодейнопольская);</w:t>
      </w:r>
    </w:p>
    <w:p w:rsidR="00FA1F4E" w:rsidRDefault="003B2CFF">
      <w:pPr>
        <w:pStyle w:val="afff"/>
        <w:numPr>
          <w:ilvl w:val="0"/>
          <w:numId w:val="52"/>
        </w:numPr>
      </w:pPr>
      <w:r>
        <w:t>ВЛ 220 кВ Нижне- Свирская ГЭС (ГЭС 9) – Сясь с отпайками (отпайки - на ПС 220 кВ Паша и на ПС 220 кВ Лодейнопольская);</w:t>
      </w:r>
    </w:p>
    <w:p w:rsidR="00FA1F4E" w:rsidRDefault="003B2CFF">
      <w:pPr>
        <w:pStyle w:val="afff"/>
        <w:numPr>
          <w:ilvl w:val="0"/>
          <w:numId w:val="52"/>
        </w:numPr>
      </w:pPr>
      <w:r>
        <w:t>Отпайка на Лодейное Поле Л-202;</w:t>
      </w:r>
    </w:p>
    <w:p w:rsidR="00FA1F4E" w:rsidRDefault="003B2CFF">
      <w:pPr>
        <w:pStyle w:val="afff"/>
        <w:numPr>
          <w:ilvl w:val="0"/>
          <w:numId w:val="52"/>
        </w:numPr>
      </w:pPr>
      <w:r>
        <w:t xml:space="preserve">ВЛ 110 кВ ГАЭС </w:t>
      </w:r>
      <w:r>
        <w:rPr>
          <w:rFonts w:cs="Times New Roman"/>
          <w:sz w:val="22"/>
        </w:rPr>
        <w:t>–</w:t>
      </w:r>
      <w:r>
        <w:t xml:space="preserve"> Лодейнопольская № 1 от ПС 220 кВ (№ 266) «Лодейнопольская» до ПС 110/10-10 кВ дер. Ратигора;</w:t>
      </w:r>
    </w:p>
    <w:p w:rsidR="00FA1F4E" w:rsidRDefault="003B2CFF">
      <w:pPr>
        <w:pStyle w:val="afff"/>
        <w:numPr>
          <w:ilvl w:val="0"/>
          <w:numId w:val="52"/>
        </w:numPr>
      </w:pPr>
      <w:r>
        <w:t xml:space="preserve">ВЛ 110 кВ ГАЭС </w:t>
      </w:r>
      <w:r>
        <w:rPr>
          <w:rFonts w:cs="Times New Roman"/>
          <w:sz w:val="22"/>
        </w:rPr>
        <w:t>–</w:t>
      </w:r>
      <w:r>
        <w:t xml:space="preserve"> Лодейнопольская № 2 от ПС 220 кВ (№ 266) «Лодейнопольская» до ПС 110/10-10 кВ дер. Ратигора;</w:t>
      </w:r>
    </w:p>
    <w:p w:rsidR="00FA1F4E" w:rsidRDefault="003B2CFF">
      <w:pPr>
        <w:pStyle w:val="afff"/>
        <w:numPr>
          <w:ilvl w:val="0"/>
          <w:numId w:val="52"/>
        </w:numPr>
      </w:pPr>
      <w:r>
        <w:t xml:space="preserve">ВЛ 110 кВ Лодейное Поле </w:t>
      </w:r>
      <w:r>
        <w:rPr>
          <w:rFonts w:cs="Times New Roman"/>
          <w:sz w:val="22"/>
        </w:rPr>
        <w:t>–</w:t>
      </w:r>
      <w:r>
        <w:t xml:space="preserve"> Шамокша I цепь;</w:t>
      </w:r>
    </w:p>
    <w:p w:rsidR="00FA1F4E" w:rsidRDefault="003B2CFF">
      <w:pPr>
        <w:pStyle w:val="afff"/>
        <w:numPr>
          <w:ilvl w:val="0"/>
          <w:numId w:val="52"/>
        </w:numPr>
      </w:pPr>
      <w:r>
        <w:t xml:space="preserve">ВЛ 110 кВ Лодейное Поле </w:t>
      </w:r>
      <w:r>
        <w:rPr>
          <w:rFonts w:cs="Times New Roman"/>
          <w:sz w:val="22"/>
        </w:rPr>
        <w:t>–</w:t>
      </w:r>
      <w:r>
        <w:t xml:space="preserve"> Шамокша II цепь c с отпайкой на ПС Рассвет;</w:t>
      </w:r>
    </w:p>
    <w:p w:rsidR="00FA1F4E" w:rsidRDefault="003B2CFF">
      <w:pPr>
        <w:pStyle w:val="afff"/>
        <w:numPr>
          <w:ilvl w:val="0"/>
          <w:numId w:val="52"/>
        </w:numPr>
      </w:pPr>
      <w:r>
        <w:t>ВЛ 110 кВ Лодейное Поле – Алеховщина.</w:t>
      </w:r>
    </w:p>
    <w:p w:rsidR="00FA1F4E" w:rsidRDefault="00FA1F4E"/>
    <w:p w:rsidR="00FA1F4E" w:rsidRDefault="003B2CFF">
      <w:r>
        <w:t>В соответствии со схемой территориального планирования Ленинградской области в области электроэнергетики, утвержденной постановлением Правительства Ленинградской области от 17 июня 2021 года № 381, и Схемой и программой развития электроэнергетики Ленинградской области на 2021 - 2025 годы, утвержденными распоряжением Губернатора Ленинградской области от 30 апреля 2021 года № 507-рг, действующим генеральным планом учтены следующие мероприятия по строительству и реконструкции объектов регионального значения в области электроэнергетики на территории, применительно к которой вносятся изменения в генеральный план:</w:t>
      </w:r>
    </w:p>
    <w:p w:rsidR="00FA1F4E" w:rsidRDefault="003B2CFF">
      <w:pPr>
        <w:pStyle w:val="afff"/>
        <w:numPr>
          <w:ilvl w:val="0"/>
          <w:numId w:val="50"/>
        </w:numPr>
      </w:pPr>
      <w:r>
        <w:t>реконструкция ВЛ 35 кВ «Линия 33» (от ПС 35/6 кВ № 31 «Лодейнопольская» до ПС 110/35/10 кВ № 323 «Алеховщинская») в пролетах опор от № 17 до № 78).</w:t>
      </w:r>
    </w:p>
    <w:p w:rsidR="00FA1F4E" w:rsidRDefault="003B2CFF">
      <w:r>
        <w:t>Кроме того, в соответствии со Схемой и программой развития электроэнергетики Ленинградской области на 2021 - 2025 годы для присоединения новых потребителей и повышения надежности электроснабжения потребителей района предлагается реконструкция ПС 35 кВ Лодейнопольская (ПС 31), 2024 год (Таблица Г.6 Перечень ПС 35 кВ, намечаемых к реконструкции в период 2021 - 2025 годов и оценка капиталовложений. Региональный вариант (ПС, не вошедшие в базовый вариант)). Для реконструкции ПС 35 кВ Лодейнопольская (ПС 31) изменение границ земельного участка не требуется.</w:t>
      </w:r>
    </w:p>
    <w:p w:rsidR="00FA1F4E" w:rsidRDefault="003B2CFF">
      <w:r>
        <w:t>В связи с отсутствием изменений объемов нового жилищного строительства и параметров планируемых объектов местного значения, которые могут отразиться на расчетах планируемых электрических нагрузок, параметры развития объектов местного значения в области электроснабжения сохраняются в соответствии с действующим генеральным планом без изменений. В связи с отсутствием изменений местных нормативов в части расчета удельных электрических нагрузок уточнение параметров планируемых объектов в области электроснабжения не требуется.</w:t>
      </w:r>
    </w:p>
    <w:p w:rsidR="00FA1F4E" w:rsidRDefault="00FA1F4E"/>
    <w:p w:rsidR="00FA1F4E" w:rsidRDefault="003B2CFF">
      <w:pPr>
        <w:pStyle w:val="2fc"/>
        <w:spacing w:after="0" w:line="240" w:lineRule="auto"/>
        <w:ind w:firstLine="708"/>
        <w:jc w:val="both"/>
        <w:rPr>
          <w:b/>
          <w:sz w:val="24"/>
          <w:szCs w:val="24"/>
        </w:rPr>
      </w:pPr>
      <w:r>
        <w:rPr>
          <w:b/>
          <w:sz w:val="24"/>
          <w:szCs w:val="24"/>
        </w:rPr>
        <w:t>Оценка расчетной электрической нагрузки планируемых потребителей</w:t>
      </w:r>
    </w:p>
    <w:p w:rsidR="00FA1F4E" w:rsidRDefault="003B2CFF">
      <w:r>
        <w:t>Расчетные электрические нагрузки жилой застройки определены в соответствии с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утвержденными приказом Минтопэнерго России от 29 июня 1999 года № 213 (Изменения и дополнения раздела 2 «Расчетные электрические нагрузки» Инструкции по проектированию городских электрических сетей (РД 34.20.185-94)). Укрупненная оценка планируемых суммарных электрических нагрузок на расчетный срок согласно РД 34.20.185-94 составит 2,12 МВ</w:t>
      </w:r>
      <w:r>
        <w:rPr>
          <w:sz w:val="22"/>
        </w:rPr>
        <w:t>∙</w:t>
      </w:r>
      <w:r>
        <w:t xml:space="preserve">А. </w:t>
      </w:r>
    </w:p>
    <w:p w:rsidR="00FA1F4E" w:rsidRDefault="003B2CFF">
      <w:r>
        <w:t>Электрические нагрузки планируемых объектов социальной инфраструктуры рассчитаны на основе укрупненных удельных нагрузок по таблице 2.2.1. Инструкции по проектированию городских электрических сетей (РД 34.20.185-94).</w:t>
      </w:r>
    </w:p>
    <w:p w:rsidR="00FA1F4E" w:rsidRDefault="00FA1F4E"/>
    <w:p w:rsidR="00FA1F4E" w:rsidRDefault="003B2CFF" w:rsidP="00C874DA">
      <w:pPr>
        <w:keepNext/>
        <w:autoSpaceDE w:val="0"/>
        <w:autoSpaceDN w:val="0"/>
        <w:adjustRightInd w:val="0"/>
        <w:ind w:firstLine="0"/>
        <w:jc w:val="center"/>
        <w:rPr>
          <w:rFonts w:cs="Times New Roman"/>
          <w:szCs w:val="24"/>
          <w:lang w:eastAsia="ru-RU"/>
        </w:rPr>
      </w:pPr>
      <w:r>
        <w:rPr>
          <w:rFonts w:cs="Times New Roman"/>
          <w:szCs w:val="24"/>
          <w:lang w:eastAsia="ru-RU"/>
        </w:rPr>
        <w:lastRenderedPageBreak/>
        <w:t xml:space="preserve">Таблица 8. Перспективные электрические нагрузки на расчетный срок </w:t>
      </w:r>
    </w:p>
    <w:tbl>
      <w:tblPr>
        <w:tblW w:w="5000" w:type="pct"/>
        <w:tblLook w:val="04A0" w:firstRow="1" w:lastRow="0" w:firstColumn="1" w:lastColumn="0" w:noHBand="0" w:noVBand="1"/>
      </w:tblPr>
      <w:tblGrid>
        <w:gridCol w:w="8189"/>
        <w:gridCol w:w="2232"/>
      </w:tblGrid>
      <w:tr w:rsidR="00FA1F4E">
        <w:trPr>
          <w:trHeight w:val="20"/>
          <w:tblHeader/>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jc w:val="center"/>
              <w:rPr>
                <w:rFonts w:cs="Times New Roman"/>
                <w:sz w:val="22"/>
              </w:rPr>
            </w:pPr>
            <w:r>
              <w:rPr>
                <w:rFonts w:cs="Times New Roman"/>
                <w:sz w:val="22"/>
              </w:rPr>
              <w:t>Планируемый потребитель</w:t>
            </w:r>
          </w:p>
        </w:tc>
        <w:tc>
          <w:tcPr>
            <w:tcW w:w="1071"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jc w:val="center"/>
              <w:rPr>
                <w:rFonts w:cs="Times New Roman"/>
                <w:sz w:val="22"/>
              </w:rPr>
            </w:pPr>
            <w:r>
              <w:rPr>
                <w:rFonts w:cs="Times New Roman"/>
                <w:sz w:val="22"/>
              </w:rPr>
              <w:t>Электрическая нагрузка, МВт</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Четыре 24-квартирных жилых дома</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0,403</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Пять 36-квартирных жилых дома в квартале ул. Лесная – пр. Интернациональный – пр. Октябрьский - ул. Шмакова</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0,594</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Один 42 квартирный жилой дом – ул. Карла Маркса, д. 41</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0,139</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Два 36-квартирных жилых дома</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0,238</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Индивидуальная жилая застройка (микрорайон «Каномский 1»)</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0,094</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Индивидуальная жилая застройка 40 участков</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0,104</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Индивидуальная жилая застройка 80 участков</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0,164</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Спа-комплекс</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0,06</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АБК</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0,04</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Гостиница</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0,046</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Магазин</w:t>
            </w:r>
          </w:p>
        </w:tc>
        <w:tc>
          <w:tcPr>
            <w:tcW w:w="1071" w:type="pct"/>
            <w:tcBorders>
              <w:top w:val="single" w:sz="4" w:space="0" w:color="auto"/>
              <w:left w:val="single" w:sz="4" w:space="0" w:color="auto"/>
              <w:bottom w:val="single" w:sz="4" w:space="0" w:color="auto"/>
              <w:right w:val="single" w:sz="4" w:space="0" w:color="auto"/>
            </w:tcBorders>
            <w:vAlign w:val="bottom"/>
          </w:tcPr>
          <w:p w:rsidR="00FA1F4E" w:rsidRDefault="003B2CFF" w:rsidP="00C874DA">
            <w:pPr>
              <w:keepNext/>
              <w:autoSpaceDE w:val="0"/>
              <w:autoSpaceDN w:val="0"/>
              <w:adjustRightInd w:val="0"/>
              <w:ind w:firstLine="0"/>
              <w:jc w:val="center"/>
              <w:rPr>
                <w:rFonts w:cs="Times New Roman"/>
                <w:sz w:val="22"/>
              </w:rPr>
            </w:pPr>
            <w:r>
              <w:rPr>
                <w:rFonts w:cs="Times New Roman"/>
                <w:sz w:val="22"/>
              </w:rPr>
              <w:t>0,15</w:t>
            </w:r>
          </w:p>
        </w:tc>
      </w:tr>
      <w:tr w:rsidR="00FA1F4E">
        <w:trPr>
          <w:trHeight w:val="20"/>
        </w:trPr>
        <w:tc>
          <w:tcPr>
            <w:tcW w:w="3929"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rPr>
                <w:rFonts w:cs="Times New Roman"/>
                <w:sz w:val="22"/>
              </w:rPr>
            </w:pPr>
            <w:r>
              <w:rPr>
                <w:rFonts w:cs="Times New Roman"/>
                <w:sz w:val="22"/>
              </w:rPr>
              <w:t xml:space="preserve">Итого: </w:t>
            </w:r>
          </w:p>
        </w:tc>
        <w:tc>
          <w:tcPr>
            <w:tcW w:w="1071" w:type="pct"/>
            <w:tcBorders>
              <w:top w:val="single" w:sz="4" w:space="0" w:color="auto"/>
              <w:left w:val="single" w:sz="4" w:space="0" w:color="auto"/>
              <w:bottom w:val="single" w:sz="4" w:space="0" w:color="auto"/>
              <w:right w:val="single" w:sz="4" w:space="0" w:color="auto"/>
            </w:tcBorders>
            <w:vAlign w:val="center"/>
          </w:tcPr>
          <w:p w:rsidR="00FA1F4E" w:rsidRDefault="003B2CFF" w:rsidP="00C874DA">
            <w:pPr>
              <w:keepNext/>
              <w:autoSpaceDE w:val="0"/>
              <w:autoSpaceDN w:val="0"/>
              <w:adjustRightInd w:val="0"/>
              <w:ind w:firstLine="0"/>
              <w:jc w:val="center"/>
              <w:rPr>
                <w:rFonts w:cs="Times New Roman"/>
                <w:sz w:val="22"/>
              </w:rPr>
            </w:pPr>
            <w:r>
              <w:rPr>
                <w:rFonts w:cs="Times New Roman"/>
                <w:sz w:val="22"/>
              </w:rPr>
              <w:t>2,032</w:t>
            </w:r>
          </w:p>
        </w:tc>
      </w:tr>
    </w:tbl>
    <w:p w:rsidR="00FA1F4E" w:rsidRDefault="00FA1F4E">
      <w:pPr>
        <w:autoSpaceDE w:val="0"/>
        <w:autoSpaceDN w:val="0"/>
        <w:adjustRightInd w:val="0"/>
        <w:rPr>
          <w:rFonts w:eastAsia="Calibri" w:cs="Times New Roman"/>
          <w:szCs w:val="24"/>
        </w:rPr>
      </w:pPr>
    </w:p>
    <w:p w:rsidR="00FA1F4E" w:rsidRDefault="003B2CFF">
      <w:pPr>
        <w:autoSpaceDE w:val="0"/>
        <w:autoSpaceDN w:val="0"/>
        <w:adjustRightInd w:val="0"/>
        <w:rPr>
          <w:rFonts w:eastAsia="Calibri" w:cs="Times New Roman"/>
          <w:szCs w:val="24"/>
        </w:rPr>
      </w:pPr>
      <w:r>
        <w:rPr>
          <w:rFonts w:eastAsia="Calibri" w:cs="Times New Roman"/>
          <w:szCs w:val="24"/>
        </w:rPr>
        <w:t xml:space="preserve">Расчеты прироста электрических нагрузок, выполненные в соответствии </w:t>
      </w:r>
      <w:r>
        <w:rPr>
          <w:rFonts w:cs="Times New Roman"/>
          <w:szCs w:val="24"/>
        </w:rPr>
        <w:t>с РД-34.20.185-94 (</w:t>
      </w:r>
      <w:r>
        <w:rPr>
          <w:rFonts w:cs="Times New Roman"/>
          <w:szCs w:val="24"/>
          <w:lang w:eastAsia="ru-RU"/>
        </w:rPr>
        <w:t xml:space="preserve">согласно таблицам </w:t>
      </w:r>
      <w:r>
        <w:rPr>
          <w:rFonts w:cs="Times New Roman"/>
          <w:szCs w:val="24"/>
        </w:rPr>
        <w:t>2.1.1.(1), 2.1.5, 2.2.1, представлены в части планируемых к размещению объектов, предусмотренных генеральным планом. Расчет электрических нагрузок выполнен укрупненно и должен уточняться на дальнейших стадиях проектирования:</w:t>
      </w:r>
    </w:p>
    <w:p w:rsidR="00FA1F4E" w:rsidRDefault="003B2CFF">
      <w:pPr>
        <w:pStyle w:val="afff"/>
        <w:numPr>
          <w:ilvl w:val="0"/>
          <w:numId w:val="53"/>
        </w:numPr>
        <w:rPr>
          <w:rFonts w:cs="Times New Roman"/>
          <w:szCs w:val="24"/>
          <w:lang w:eastAsia="ru-RU"/>
        </w:rPr>
      </w:pPr>
      <w:r>
        <w:rPr>
          <w:rFonts w:cs="Times New Roman"/>
          <w:szCs w:val="24"/>
          <w:lang w:eastAsia="ru-RU"/>
        </w:rPr>
        <w:t>жилая застройка (микрорайон «Каномский 1») 32*2,95=94,4кВт (согласно таблице 2.1.1.(1) РД-34.20.185-94);</w:t>
      </w:r>
    </w:p>
    <w:p w:rsidR="00FA1F4E" w:rsidRDefault="003B2CFF">
      <w:pPr>
        <w:pStyle w:val="afff"/>
        <w:numPr>
          <w:ilvl w:val="0"/>
          <w:numId w:val="53"/>
        </w:numPr>
        <w:rPr>
          <w:rFonts w:cs="Times New Roman"/>
          <w:szCs w:val="24"/>
          <w:lang w:eastAsia="ru-RU"/>
        </w:rPr>
      </w:pPr>
      <w:r>
        <w:rPr>
          <w:rFonts w:cs="Times New Roman"/>
          <w:szCs w:val="24"/>
          <w:lang w:eastAsia="ru-RU"/>
        </w:rPr>
        <w:t>жилая застройка 40 участков 40*2,6=104кВт (согласно таблице 2.1.1.(1) РД-34.20.185-94);</w:t>
      </w:r>
    </w:p>
    <w:p w:rsidR="00FA1F4E" w:rsidRDefault="003B2CFF">
      <w:pPr>
        <w:pStyle w:val="afff"/>
        <w:numPr>
          <w:ilvl w:val="0"/>
          <w:numId w:val="53"/>
        </w:numPr>
        <w:rPr>
          <w:rFonts w:cs="Times New Roman"/>
          <w:szCs w:val="24"/>
          <w:lang w:eastAsia="ru-RU"/>
        </w:rPr>
      </w:pPr>
      <w:r>
        <w:rPr>
          <w:rFonts w:cs="Times New Roman"/>
          <w:szCs w:val="24"/>
          <w:lang w:eastAsia="ru-RU"/>
        </w:rPr>
        <w:t>жилая застройка 80 участков 80*2,05=164кВт (согласно таблице 2.1.1.(1) РД-34.20.185-94);</w:t>
      </w:r>
    </w:p>
    <w:p w:rsidR="00FA1F4E" w:rsidRDefault="003B2CFF">
      <w:pPr>
        <w:pStyle w:val="afff"/>
        <w:numPr>
          <w:ilvl w:val="0"/>
          <w:numId w:val="53"/>
        </w:numPr>
        <w:rPr>
          <w:rFonts w:cs="Times New Roman"/>
          <w:szCs w:val="24"/>
          <w:lang w:eastAsia="ru-RU"/>
        </w:rPr>
      </w:pPr>
      <w:r>
        <w:rPr>
          <w:rFonts w:cs="Times New Roman"/>
          <w:szCs w:val="24"/>
          <w:lang w:eastAsia="ru-RU"/>
        </w:rPr>
        <w:t>Спа-комплекс (130 человек) 130*0,46=60кВт (согласно таблице 2.2.1 РД-34.20.185-94);</w:t>
      </w:r>
    </w:p>
    <w:p w:rsidR="00FA1F4E" w:rsidRDefault="003B2CFF">
      <w:pPr>
        <w:pStyle w:val="afff"/>
        <w:numPr>
          <w:ilvl w:val="0"/>
          <w:numId w:val="53"/>
        </w:numPr>
        <w:rPr>
          <w:rFonts w:cs="Times New Roman"/>
          <w:szCs w:val="24"/>
          <w:lang w:eastAsia="ru-RU"/>
        </w:rPr>
      </w:pPr>
      <w:r>
        <w:rPr>
          <w:rFonts w:cs="Times New Roman"/>
          <w:szCs w:val="24"/>
          <w:lang w:eastAsia="ru-RU"/>
        </w:rPr>
        <w:t>гостиница (100 человек) 100*0,46=46кВт (согласно таблице 2.2.1 РД-34.20.185-94);</w:t>
      </w:r>
    </w:p>
    <w:p w:rsidR="00FA1F4E" w:rsidRDefault="003B2CFF">
      <w:pPr>
        <w:pStyle w:val="afff"/>
        <w:numPr>
          <w:ilvl w:val="0"/>
          <w:numId w:val="53"/>
        </w:numPr>
        <w:rPr>
          <w:szCs w:val="24"/>
        </w:rPr>
      </w:pPr>
      <w:r>
        <w:rPr>
          <w:rFonts w:cs="Times New Roman"/>
          <w:szCs w:val="24"/>
          <w:lang w:eastAsia="ru-RU"/>
        </w:rPr>
        <w:t>магазин (600 м</w:t>
      </w:r>
      <w:r>
        <w:rPr>
          <w:rFonts w:cs="Times New Roman"/>
          <w:szCs w:val="24"/>
          <w:vertAlign w:val="superscript"/>
          <w:lang w:eastAsia="ru-RU"/>
        </w:rPr>
        <w:t>2</w:t>
      </w:r>
      <w:r>
        <w:rPr>
          <w:rFonts w:cs="Times New Roman"/>
          <w:szCs w:val="24"/>
          <w:lang w:eastAsia="ru-RU"/>
        </w:rPr>
        <w:t>) 600*0,25=150кВт.</w:t>
      </w:r>
    </w:p>
    <w:p w:rsidR="00FA1F4E" w:rsidRDefault="00FA1F4E"/>
    <w:p w:rsidR="00FA1F4E" w:rsidRDefault="003B2CFF">
      <w:pPr>
        <w:ind w:firstLine="708"/>
      </w:pPr>
      <w:r>
        <w:t xml:space="preserve">Полные электрические нагрузки сетей 10 кВ </w:t>
      </w:r>
      <w:r>
        <w:rPr>
          <w:bCs/>
        </w:rPr>
        <w:t xml:space="preserve">территории </w:t>
      </w:r>
      <w:r>
        <w:t>проектирования</w:t>
      </w:r>
      <w:r>
        <w:rPr>
          <w:bCs/>
        </w:rPr>
        <w:t xml:space="preserve"> </w:t>
      </w:r>
      <w:r>
        <w:t>определяются умножением суммы расчетных нагрузок на коэффициент, учитывающий совмещение максимумов нагрузок (коэффициент участия в максимуме нагрузок). Коэффициент мощности для линий 10 кВ в период максимума нагрузки принимается равным 0,92. Расчет полной электрической нагрузки на шинах 10 кВ представлен в таблице 9.</w:t>
      </w:r>
    </w:p>
    <w:p w:rsidR="00FA1F4E" w:rsidRDefault="003B2CFF">
      <w:r>
        <w:t>С учетом полученных значений планируемого роста электрической нагрузки, необходимой для реализации запланированного строительства, учитывая существующую загрузку и состояние источника питания ПС 35 кВ, планируемая на расчетный срок электрическая нагрузка жилищно-коммунального сектора и объектов социальной инфраструктуры может быть обеспечена от существующих центров питания. При размещении конкретных объектов электрические нагрузки должны уточняться. В случае отсутствия резерва необходимой свободной мощности для размещения объектов производственного назначения необходима реализация мероприятий по развитию источников электроснабжения и строительству линий электропередачи за счет инвестора.</w:t>
      </w:r>
    </w:p>
    <w:p w:rsidR="00FA1F4E" w:rsidRDefault="00FA1F4E">
      <w:pPr>
        <w:pStyle w:val="afff6"/>
        <w:suppressAutoHyphens/>
        <w:ind w:firstLine="709"/>
      </w:pPr>
    </w:p>
    <w:p w:rsidR="00FA1F4E" w:rsidRDefault="003B2CFF">
      <w:pPr>
        <w:ind w:firstLine="0"/>
        <w:jc w:val="center"/>
      </w:pPr>
      <w:r>
        <w:t>Таблица 9. Прирост электрической нагрузки с учетом планируемых объектов на шинах 10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906"/>
        <w:gridCol w:w="2678"/>
        <w:gridCol w:w="3401"/>
      </w:tblGrid>
      <w:tr w:rsidR="00FA1F4E">
        <w:trPr>
          <w:trHeight w:val="20"/>
          <w:tblHeader/>
          <w:jc w:val="center"/>
        </w:trPr>
        <w:tc>
          <w:tcPr>
            <w:tcW w:w="209" w:type="pct"/>
            <w:vAlign w:val="center"/>
          </w:tcPr>
          <w:p w:rsidR="00FA1F4E" w:rsidRDefault="003B2CFF">
            <w:pPr>
              <w:ind w:firstLine="0"/>
              <w:jc w:val="center"/>
              <w:rPr>
                <w:rFonts w:eastAsia="Calibri"/>
                <w:sz w:val="22"/>
              </w:rPr>
            </w:pPr>
            <w:r>
              <w:rPr>
                <w:rFonts w:eastAsia="Calibri"/>
                <w:sz w:val="22"/>
              </w:rPr>
              <w:t>№</w:t>
            </w:r>
          </w:p>
        </w:tc>
        <w:tc>
          <w:tcPr>
            <w:tcW w:w="1874" w:type="pct"/>
            <w:vAlign w:val="center"/>
          </w:tcPr>
          <w:p w:rsidR="00FA1F4E" w:rsidRDefault="003B2CFF">
            <w:pPr>
              <w:ind w:firstLine="0"/>
              <w:jc w:val="center"/>
              <w:rPr>
                <w:rFonts w:eastAsia="Calibri"/>
                <w:sz w:val="22"/>
              </w:rPr>
            </w:pPr>
            <w:r>
              <w:rPr>
                <w:rFonts w:eastAsia="Calibri"/>
                <w:sz w:val="22"/>
              </w:rPr>
              <w:t>Потребители</w:t>
            </w:r>
          </w:p>
        </w:tc>
        <w:tc>
          <w:tcPr>
            <w:tcW w:w="1285" w:type="pct"/>
          </w:tcPr>
          <w:p w:rsidR="00FA1F4E" w:rsidRDefault="003B2CFF">
            <w:pPr>
              <w:ind w:firstLine="0"/>
              <w:jc w:val="center"/>
              <w:rPr>
                <w:rFonts w:eastAsia="Calibri"/>
                <w:sz w:val="22"/>
              </w:rPr>
            </w:pPr>
            <w:r>
              <w:rPr>
                <w:rFonts w:eastAsia="Calibri"/>
                <w:sz w:val="22"/>
              </w:rPr>
              <w:t xml:space="preserve">Прирост электрической нагрузки, </w:t>
            </w:r>
            <w:r>
              <w:rPr>
                <w:sz w:val="22"/>
              </w:rPr>
              <w:t>МВ·А</w:t>
            </w:r>
          </w:p>
          <w:p w:rsidR="00FA1F4E" w:rsidRDefault="003B2CFF">
            <w:pPr>
              <w:ind w:firstLine="0"/>
              <w:jc w:val="center"/>
              <w:rPr>
                <w:rFonts w:eastAsia="Calibri"/>
                <w:sz w:val="22"/>
              </w:rPr>
            </w:pPr>
            <w:r>
              <w:rPr>
                <w:rFonts w:eastAsia="Calibri"/>
                <w:sz w:val="22"/>
              </w:rPr>
              <w:t>2045 год</w:t>
            </w:r>
          </w:p>
        </w:tc>
        <w:tc>
          <w:tcPr>
            <w:tcW w:w="1632" w:type="pct"/>
          </w:tcPr>
          <w:p w:rsidR="00FA1F4E" w:rsidRDefault="003B2CFF">
            <w:pPr>
              <w:ind w:firstLine="0"/>
              <w:jc w:val="center"/>
              <w:rPr>
                <w:rFonts w:eastAsia="Calibri"/>
                <w:sz w:val="22"/>
              </w:rPr>
            </w:pPr>
            <w:r>
              <w:rPr>
                <w:rFonts w:eastAsia="Calibri"/>
                <w:sz w:val="22"/>
              </w:rPr>
              <w:t xml:space="preserve">Наличие резерва свободной мощности ближайших центров питания, </w:t>
            </w:r>
            <w:r>
              <w:rPr>
                <w:sz w:val="22"/>
              </w:rPr>
              <w:t>МВ·А</w:t>
            </w:r>
          </w:p>
        </w:tc>
      </w:tr>
      <w:tr w:rsidR="00FA1F4E">
        <w:trPr>
          <w:trHeight w:val="20"/>
          <w:jc w:val="center"/>
        </w:trPr>
        <w:tc>
          <w:tcPr>
            <w:tcW w:w="209" w:type="pct"/>
            <w:vAlign w:val="center"/>
          </w:tcPr>
          <w:p w:rsidR="00FA1F4E" w:rsidRDefault="003B2CFF">
            <w:pPr>
              <w:ind w:firstLine="0"/>
              <w:rPr>
                <w:sz w:val="22"/>
              </w:rPr>
            </w:pPr>
            <w:r>
              <w:rPr>
                <w:sz w:val="22"/>
              </w:rPr>
              <w:t>1</w:t>
            </w:r>
          </w:p>
        </w:tc>
        <w:tc>
          <w:tcPr>
            <w:tcW w:w="1874" w:type="pct"/>
            <w:vAlign w:val="center"/>
          </w:tcPr>
          <w:p w:rsidR="00FA1F4E" w:rsidRDefault="003B2CFF">
            <w:pPr>
              <w:ind w:firstLine="0"/>
              <w:rPr>
                <w:sz w:val="22"/>
              </w:rPr>
            </w:pPr>
            <w:r>
              <w:rPr>
                <w:sz w:val="22"/>
              </w:rPr>
              <w:t>Жилищно-коммунальный сектор</w:t>
            </w:r>
          </w:p>
        </w:tc>
        <w:tc>
          <w:tcPr>
            <w:tcW w:w="1285" w:type="pct"/>
            <w:vAlign w:val="center"/>
          </w:tcPr>
          <w:p w:rsidR="00FA1F4E" w:rsidRDefault="003B2CFF">
            <w:pPr>
              <w:ind w:firstLine="0"/>
              <w:jc w:val="center"/>
              <w:rPr>
                <w:sz w:val="22"/>
              </w:rPr>
            </w:pPr>
            <w:r>
              <w:rPr>
                <w:sz w:val="22"/>
              </w:rPr>
              <w:t>1,81</w:t>
            </w:r>
          </w:p>
        </w:tc>
        <w:tc>
          <w:tcPr>
            <w:tcW w:w="1632" w:type="pct"/>
            <w:vMerge w:val="restart"/>
            <w:vAlign w:val="center"/>
          </w:tcPr>
          <w:p w:rsidR="00FA1F4E" w:rsidRDefault="003B2CFF">
            <w:pPr>
              <w:ind w:firstLine="0"/>
              <w:jc w:val="center"/>
              <w:rPr>
                <w:sz w:val="22"/>
              </w:rPr>
            </w:pPr>
            <w:r>
              <w:rPr>
                <w:sz w:val="22"/>
              </w:rPr>
              <w:t>4,44 (ПС 35 кВ Лодейнопольская (ПС 31))</w:t>
            </w:r>
          </w:p>
        </w:tc>
      </w:tr>
      <w:tr w:rsidR="00FA1F4E">
        <w:trPr>
          <w:trHeight w:val="20"/>
          <w:jc w:val="center"/>
        </w:trPr>
        <w:tc>
          <w:tcPr>
            <w:tcW w:w="209" w:type="pct"/>
            <w:vAlign w:val="center"/>
          </w:tcPr>
          <w:p w:rsidR="00FA1F4E" w:rsidRDefault="003B2CFF">
            <w:pPr>
              <w:ind w:firstLine="0"/>
              <w:rPr>
                <w:sz w:val="22"/>
              </w:rPr>
            </w:pPr>
            <w:r>
              <w:rPr>
                <w:sz w:val="22"/>
              </w:rPr>
              <w:t>2</w:t>
            </w:r>
          </w:p>
        </w:tc>
        <w:tc>
          <w:tcPr>
            <w:tcW w:w="1874" w:type="pct"/>
            <w:vAlign w:val="center"/>
          </w:tcPr>
          <w:p w:rsidR="00FA1F4E" w:rsidRDefault="003B2CFF">
            <w:pPr>
              <w:ind w:firstLine="0"/>
              <w:rPr>
                <w:sz w:val="22"/>
              </w:rPr>
            </w:pPr>
            <w:r>
              <w:rPr>
                <w:sz w:val="22"/>
              </w:rPr>
              <w:t>Объекты социальной инфраструктуры</w:t>
            </w:r>
          </w:p>
        </w:tc>
        <w:tc>
          <w:tcPr>
            <w:tcW w:w="1285" w:type="pct"/>
            <w:vAlign w:val="center"/>
          </w:tcPr>
          <w:p w:rsidR="00FA1F4E" w:rsidRDefault="003B2CFF">
            <w:pPr>
              <w:ind w:firstLine="0"/>
              <w:jc w:val="center"/>
              <w:rPr>
                <w:sz w:val="22"/>
              </w:rPr>
            </w:pPr>
            <w:r>
              <w:rPr>
                <w:sz w:val="22"/>
              </w:rPr>
              <w:t>0,31</w:t>
            </w:r>
          </w:p>
        </w:tc>
        <w:tc>
          <w:tcPr>
            <w:tcW w:w="1632" w:type="pct"/>
            <w:vMerge/>
            <w:vAlign w:val="center"/>
          </w:tcPr>
          <w:p w:rsidR="00FA1F4E" w:rsidRDefault="00FA1F4E">
            <w:pPr>
              <w:ind w:firstLine="0"/>
              <w:jc w:val="center"/>
              <w:rPr>
                <w:sz w:val="22"/>
              </w:rPr>
            </w:pPr>
          </w:p>
        </w:tc>
      </w:tr>
      <w:tr w:rsidR="00FA1F4E">
        <w:trPr>
          <w:trHeight w:val="20"/>
          <w:jc w:val="center"/>
        </w:trPr>
        <w:tc>
          <w:tcPr>
            <w:tcW w:w="2083" w:type="pct"/>
            <w:gridSpan w:val="2"/>
            <w:vAlign w:val="center"/>
          </w:tcPr>
          <w:p w:rsidR="00FA1F4E" w:rsidRDefault="003B2CFF">
            <w:pPr>
              <w:ind w:firstLine="0"/>
              <w:rPr>
                <w:bCs/>
                <w:sz w:val="22"/>
              </w:rPr>
            </w:pPr>
            <w:r>
              <w:rPr>
                <w:bCs/>
                <w:sz w:val="22"/>
              </w:rPr>
              <w:lastRenderedPageBreak/>
              <w:t>Итого</w:t>
            </w:r>
          </w:p>
        </w:tc>
        <w:tc>
          <w:tcPr>
            <w:tcW w:w="1285" w:type="pct"/>
          </w:tcPr>
          <w:p w:rsidR="00FA1F4E" w:rsidRDefault="003B2CFF">
            <w:pPr>
              <w:ind w:firstLine="0"/>
              <w:jc w:val="center"/>
              <w:rPr>
                <w:bCs/>
                <w:sz w:val="22"/>
              </w:rPr>
            </w:pPr>
            <w:r>
              <w:rPr>
                <w:bCs/>
                <w:sz w:val="22"/>
              </w:rPr>
              <w:t>2,12</w:t>
            </w:r>
          </w:p>
        </w:tc>
        <w:tc>
          <w:tcPr>
            <w:tcW w:w="1632" w:type="pct"/>
            <w:vMerge/>
            <w:vAlign w:val="center"/>
          </w:tcPr>
          <w:p w:rsidR="00FA1F4E" w:rsidRDefault="00FA1F4E">
            <w:pPr>
              <w:ind w:firstLine="0"/>
              <w:jc w:val="center"/>
              <w:rPr>
                <w:b/>
                <w:bCs/>
                <w:sz w:val="22"/>
              </w:rPr>
            </w:pPr>
          </w:p>
        </w:tc>
      </w:tr>
      <w:tr w:rsidR="00FA1F4E">
        <w:trPr>
          <w:trHeight w:val="20"/>
          <w:jc w:val="center"/>
        </w:trPr>
        <w:tc>
          <w:tcPr>
            <w:tcW w:w="2083" w:type="pct"/>
            <w:gridSpan w:val="2"/>
            <w:vAlign w:val="center"/>
          </w:tcPr>
          <w:p w:rsidR="00FA1F4E" w:rsidRDefault="003B2CFF">
            <w:pPr>
              <w:ind w:firstLine="0"/>
              <w:rPr>
                <w:bCs/>
                <w:sz w:val="22"/>
              </w:rPr>
            </w:pPr>
            <w:r>
              <w:rPr>
                <w:bCs/>
                <w:sz w:val="22"/>
              </w:rPr>
              <w:lastRenderedPageBreak/>
              <w:t>Итого с учетом коэффициента совмещения максимумов нагрузок</w:t>
            </w:r>
          </w:p>
        </w:tc>
        <w:tc>
          <w:tcPr>
            <w:tcW w:w="1285" w:type="pct"/>
          </w:tcPr>
          <w:p w:rsidR="00FA1F4E" w:rsidRDefault="003B2CFF">
            <w:pPr>
              <w:ind w:firstLine="0"/>
              <w:jc w:val="center"/>
              <w:rPr>
                <w:bCs/>
                <w:sz w:val="22"/>
              </w:rPr>
            </w:pPr>
            <w:r>
              <w:rPr>
                <w:bCs/>
                <w:sz w:val="22"/>
              </w:rPr>
              <w:t>1,95</w:t>
            </w:r>
          </w:p>
        </w:tc>
        <w:tc>
          <w:tcPr>
            <w:tcW w:w="1632" w:type="pct"/>
            <w:vMerge/>
            <w:vAlign w:val="center"/>
          </w:tcPr>
          <w:p w:rsidR="00FA1F4E" w:rsidRDefault="00FA1F4E">
            <w:pPr>
              <w:ind w:firstLine="0"/>
              <w:jc w:val="center"/>
              <w:rPr>
                <w:b/>
                <w:bCs/>
                <w:sz w:val="22"/>
              </w:rPr>
            </w:pPr>
          </w:p>
        </w:tc>
      </w:tr>
      <w:tr w:rsidR="00FA1F4E">
        <w:trPr>
          <w:trHeight w:val="20"/>
          <w:jc w:val="center"/>
        </w:trPr>
        <w:tc>
          <w:tcPr>
            <w:tcW w:w="5000" w:type="pct"/>
            <w:gridSpan w:val="4"/>
            <w:vAlign w:val="center"/>
          </w:tcPr>
          <w:p w:rsidR="00FA1F4E" w:rsidRDefault="003B2CFF">
            <w:pPr>
              <w:ind w:firstLine="0"/>
              <w:rPr>
                <w:b/>
                <w:bCs/>
                <w:sz w:val="22"/>
              </w:rPr>
            </w:pPr>
            <w:r>
              <w:rPr>
                <w:sz w:val="22"/>
              </w:rPr>
              <w:t>*полная электрическая нагрузка определена с учетом коэффициента мощности равным 0,92, приведен в Инструкции по проектированию городских электрических сетей (РД 34.20.185-94), пункт 2.4.1.</w:t>
            </w:r>
          </w:p>
        </w:tc>
      </w:tr>
    </w:tbl>
    <w:p w:rsidR="00FA1F4E" w:rsidRDefault="00FA1F4E"/>
    <w:p w:rsidR="00FA1F4E" w:rsidRDefault="003B2CFF">
      <w: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объектов электросетевого хозяйства устанавливаются по обе стороны линии электропередачи от крайних проводов при неотклоненном их положении и от всех сторон ограждения подстанции по периметру на следующем расстоянии (для объектов местного значения):</w:t>
      </w:r>
    </w:p>
    <w:p w:rsidR="00FA1F4E" w:rsidRDefault="003B2CFF">
      <w:pPr>
        <w:numPr>
          <w:ilvl w:val="0"/>
          <w:numId w:val="54"/>
        </w:numPr>
      </w:pPr>
      <w:r>
        <w:t>проектный номинальный класс напряжения до 1 кВ: 2 метра;</w:t>
      </w:r>
    </w:p>
    <w:p w:rsidR="00FA1F4E" w:rsidRDefault="003B2CFF">
      <w:pPr>
        <w:numPr>
          <w:ilvl w:val="0"/>
          <w:numId w:val="54"/>
        </w:numPr>
      </w:pPr>
      <w:r>
        <w:t>проектный номинальный класс напряжения 1 - 20 кВ: 10 метров.</w:t>
      </w:r>
    </w:p>
    <w:p w:rsidR="00FA1F4E" w:rsidRDefault="00FA1F4E">
      <w:pPr>
        <w:suppressAutoHyphens/>
        <w:ind w:firstLine="708"/>
      </w:pPr>
    </w:p>
    <w:p w:rsidR="00FA1F4E" w:rsidRDefault="003B2CFF">
      <w:pPr>
        <w:rPr>
          <w:b/>
        </w:rPr>
      </w:pPr>
      <w:r>
        <w:rPr>
          <w:b/>
        </w:rPr>
        <w:t>Объекты теплоснабжения</w:t>
      </w:r>
    </w:p>
    <w:p w:rsidR="00FA1F4E" w:rsidRDefault="003B2CFF">
      <w:r>
        <w:t>Схема теплоснабжения муниципального образования Лодейнопольское городское поселение Лодейнопольского муниципального района Ленинградской области на период до 2030 года утверждена постановлением администрации Лодейнопольского муниципального района Ленинградской области от 26 мая 2017 года № 673.</w:t>
      </w:r>
    </w:p>
    <w:p w:rsidR="00FA1F4E" w:rsidRDefault="003B2CFF">
      <w:r>
        <w:t>В соответствии с данной схемой в 2020 году завершена реконструкция котельной № 3.</w:t>
      </w:r>
    </w:p>
    <w:p w:rsidR="00FA1F4E" w:rsidRDefault="003B2CFF">
      <w:r>
        <w:t>Строительство тепловых сетей для обеспечения перспективных приростов тепловой нагрузки в осваиваемых районах потребуется в зоне действия котельной № 18. Строительство тепловых сетей к новым жилым домам предусматривается за счет застройщиков с последующей передачей тепловых сетей в муниципальную собственность.</w:t>
      </w:r>
    </w:p>
    <w:p w:rsidR="00FA1F4E" w:rsidRDefault="003B2CFF">
      <w:r>
        <w:t>В целях оптимизации затрат и использования установленной мощности котельных № 1, № 2 и № 3 планируется строительство и реконструкция существующих тепловых сетей.</w:t>
      </w:r>
    </w:p>
    <w:p w:rsidR="00FA1F4E" w:rsidRDefault="003B2CFF">
      <w:r>
        <w:t xml:space="preserve">Планируемые объекты в соответствии с данной схемой учтены действующим генеральным планом в полном объеме. В связи с отсутствием предложений по дополнительному подключению существующих и планируемых объектов к системе централизованного теплоснабжения, изменения в части параметров планируемых объектов местного значения в области теплоснабжения не вносятся. </w:t>
      </w:r>
    </w:p>
    <w:p w:rsidR="00FA1F4E" w:rsidRDefault="003B2CFF">
      <w:pPr>
        <w:autoSpaceDE w:val="0"/>
        <w:autoSpaceDN w:val="0"/>
        <w:adjustRightInd w:val="0"/>
        <w:rPr>
          <w:rFonts w:cs="Times New Roman"/>
          <w:szCs w:val="24"/>
          <w:lang w:eastAsia="ru-RU"/>
        </w:rPr>
      </w:pPr>
      <w:r>
        <w:rPr>
          <w:rFonts w:cs="Times New Roman"/>
          <w:szCs w:val="24"/>
          <w:lang w:eastAsia="ru-RU"/>
        </w:rPr>
        <w:t xml:space="preserve">Суммарная нагрузка для обеспечения централизованным теплоснабжением планируемых малоэтажных многоквартирных жилых домов составит 2,18 Гкал/ч: </w:t>
      </w:r>
    </w:p>
    <w:p w:rsidR="00FA1F4E" w:rsidRDefault="003B2CFF">
      <w:pPr>
        <w:autoSpaceDE w:val="0"/>
        <w:autoSpaceDN w:val="0"/>
        <w:adjustRightInd w:val="0"/>
        <w:rPr>
          <w:rFonts w:cs="Times New Roman"/>
          <w:szCs w:val="24"/>
          <w:lang w:eastAsia="ru-RU"/>
        </w:rPr>
      </w:pPr>
      <w:r>
        <w:rPr>
          <w:rFonts w:cs="Times New Roman"/>
          <w:szCs w:val="24"/>
          <w:lang w:eastAsia="ru-RU"/>
        </w:rPr>
        <w:t xml:space="preserve">– от существующей котельной № 3 – суммарная нагрузка 0,58 Гкал/ч; </w:t>
      </w:r>
    </w:p>
    <w:p w:rsidR="00FA1F4E" w:rsidRDefault="003B2CFF">
      <w:pPr>
        <w:autoSpaceDE w:val="0"/>
        <w:autoSpaceDN w:val="0"/>
        <w:adjustRightInd w:val="0"/>
        <w:rPr>
          <w:rFonts w:cs="Times New Roman"/>
          <w:szCs w:val="24"/>
          <w:lang w:eastAsia="ru-RU"/>
        </w:rPr>
      </w:pPr>
      <w:r>
        <w:rPr>
          <w:rFonts w:cs="Times New Roman"/>
          <w:szCs w:val="24"/>
          <w:lang w:eastAsia="ru-RU"/>
        </w:rPr>
        <w:t xml:space="preserve">– от существующей котельной № 1 – суммарная нагрузка 0,1 Гкал/ч; </w:t>
      </w:r>
    </w:p>
    <w:p w:rsidR="00FA1F4E" w:rsidRDefault="003B2CFF">
      <w:pPr>
        <w:autoSpaceDE w:val="0"/>
        <w:autoSpaceDN w:val="0"/>
        <w:adjustRightInd w:val="0"/>
        <w:rPr>
          <w:rFonts w:cs="Times New Roman"/>
          <w:szCs w:val="24"/>
          <w:lang w:eastAsia="ru-RU"/>
        </w:rPr>
      </w:pPr>
      <w:r>
        <w:rPr>
          <w:rFonts w:cs="Times New Roman"/>
          <w:szCs w:val="24"/>
          <w:lang w:eastAsia="ru-RU"/>
        </w:rPr>
        <w:t xml:space="preserve">– от существующей котельной № 4 – суммарная нагрузка 0,1 Гкал/ч; </w:t>
      </w:r>
    </w:p>
    <w:p w:rsidR="00FA1F4E" w:rsidRDefault="003B2CFF">
      <w:pPr>
        <w:autoSpaceDE w:val="0"/>
        <w:autoSpaceDN w:val="0"/>
        <w:adjustRightInd w:val="0"/>
        <w:rPr>
          <w:rFonts w:cs="Times New Roman"/>
          <w:szCs w:val="24"/>
          <w:lang w:eastAsia="ru-RU"/>
        </w:rPr>
      </w:pPr>
      <w:r>
        <w:rPr>
          <w:rFonts w:cs="Times New Roman"/>
          <w:szCs w:val="24"/>
          <w:lang w:eastAsia="ru-RU"/>
        </w:rPr>
        <w:t xml:space="preserve">– от существующей котельной № 18 – суммарная нагрузка 1,4 Гкал/ч. </w:t>
      </w:r>
    </w:p>
    <w:p w:rsidR="00FA1F4E" w:rsidRDefault="003B2CFF">
      <w:pPr>
        <w:pStyle w:val="Default"/>
        <w:ind w:firstLine="709"/>
        <w:jc w:val="both"/>
        <w:rPr>
          <w:color w:val="auto"/>
        </w:rPr>
      </w:pPr>
      <w:r>
        <w:rPr>
          <w:color w:val="auto"/>
        </w:rPr>
        <w:t xml:space="preserve">У указанных источников теплоснабжения, к которым планируется подключение новых потребителей, имеется резерв установленной мощности, что позволяет увеличить присоединенную нагрузку без строительства новых источников теплоснабжения (таблица 10). </w:t>
      </w:r>
    </w:p>
    <w:p w:rsidR="00FA1F4E" w:rsidRDefault="00FA1F4E">
      <w:pPr>
        <w:ind w:firstLine="0"/>
        <w:rPr>
          <w:rFonts w:cs="Times New Roman"/>
          <w:szCs w:val="24"/>
        </w:rPr>
      </w:pPr>
    </w:p>
    <w:p w:rsidR="00FA1F4E" w:rsidRDefault="003B2CFF">
      <w:pPr>
        <w:ind w:firstLine="0"/>
        <w:jc w:val="center"/>
        <w:rPr>
          <w:rFonts w:cs="Times New Roman"/>
          <w:szCs w:val="24"/>
        </w:rPr>
      </w:pPr>
      <w:r>
        <w:rPr>
          <w:rFonts w:cs="Times New Roman"/>
          <w:szCs w:val="24"/>
        </w:rPr>
        <w:t xml:space="preserve">Таблица 10. Характеристика </w:t>
      </w:r>
      <w:r>
        <w:rPr>
          <w:rFonts w:cs="Times New Roman"/>
        </w:rPr>
        <w:t>источников теплоснабжения г. Лодейное Поле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843"/>
        <w:gridCol w:w="1559"/>
        <w:gridCol w:w="1701"/>
        <w:gridCol w:w="1808"/>
      </w:tblGrid>
      <w:tr w:rsidR="00FA1F4E" w:rsidTr="00C874DA">
        <w:trPr>
          <w:trHeight w:val="383"/>
          <w:tblHeader/>
        </w:trPr>
        <w:tc>
          <w:tcPr>
            <w:tcW w:w="675" w:type="dxa"/>
            <w:vMerge w:val="restart"/>
            <w:vAlign w:val="center"/>
          </w:tcPr>
          <w:p w:rsidR="00FA1F4E" w:rsidRDefault="003B2CFF">
            <w:pPr>
              <w:autoSpaceDE w:val="0"/>
              <w:autoSpaceDN w:val="0"/>
              <w:adjustRightInd w:val="0"/>
              <w:ind w:firstLine="0"/>
              <w:jc w:val="center"/>
              <w:rPr>
                <w:rFonts w:cs="Times New Roman"/>
                <w:sz w:val="22"/>
              </w:rPr>
            </w:pPr>
            <w:r>
              <w:rPr>
                <w:rFonts w:cs="Times New Roman"/>
                <w:sz w:val="22"/>
              </w:rPr>
              <w:t>№</w:t>
            </w:r>
          </w:p>
        </w:tc>
        <w:tc>
          <w:tcPr>
            <w:tcW w:w="2835" w:type="dxa"/>
            <w:vMerge w:val="restart"/>
            <w:vAlign w:val="center"/>
          </w:tcPr>
          <w:p w:rsidR="00FA1F4E" w:rsidRDefault="003B2CFF">
            <w:pPr>
              <w:autoSpaceDE w:val="0"/>
              <w:autoSpaceDN w:val="0"/>
              <w:adjustRightInd w:val="0"/>
              <w:ind w:firstLine="0"/>
              <w:jc w:val="center"/>
              <w:rPr>
                <w:rFonts w:cs="Times New Roman"/>
                <w:sz w:val="22"/>
              </w:rPr>
            </w:pPr>
            <w:r>
              <w:rPr>
                <w:rFonts w:cs="Times New Roman"/>
                <w:sz w:val="22"/>
              </w:rPr>
              <w:t>Номер котельной</w:t>
            </w:r>
          </w:p>
        </w:tc>
        <w:tc>
          <w:tcPr>
            <w:tcW w:w="3402" w:type="dxa"/>
            <w:gridSpan w:val="2"/>
            <w:vAlign w:val="center"/>
          </w:tcPr>
          <w:p w:rsidR="00FA1F4E" w:rsidRDefault="003B2CFF">
            <w:pPr>
              <w:autoSpaceDE w:val="0"/>
              <w:autoSpaceDN w:val="0"/>
              <w:adjustRightInd w:val="0"/>
              <w:ind w:firstLine="0"/>
              <w:jc w:val="center"/>
              <w:rPr>
                <w:rFonts w:cs="Times New Roman"/>
                <w:sz w:val="22"/>
              </w:rPr>
            </w:pPr>
            <w:r>
              <w:rPr>
                <w:rFonts w:cs="Times New Roman"/>
                <w:sz w:val="22"/>
              </w:rPr>
              <w:t>Присоединенная тепловая нагрузка, Гкал/ч</w:t>
            </w:r>
          </w:p>
        </w:tc>
        <w:tc>
          <w:tcPr>
            <w:tcW w:w="1701" w:type="dxa"/>
            <w:vMerge w:val="restart"/>
            <w:vAlign w:val="center"/>
          </w:tcPr>
          <w:p w:rsidR="00FA1F4E" w:rsidRDefault="003B2CFF">
            <w:pPr>
              <w:autoSpaceDE w:val="0"/>
              <w:autoSpaceDN w:val="0"/>
              <w:adjustRightInd w:val="0"/>
              <w:ind w:firstLine="0"/>
              <w:jc w:val="center"/>
              <w:rPr>
                <w:rFonts w:cs="Times New Roman"/>
                <w:sz w:val="22"/>
              </w:rPr>
            </w:pPr>
            <w:r>
              <w:rPr>
                <w:rFonts w:cs="Times New Roman"/>
                <w:sz w:val="22"/>
              </w:rPr>
              <w:t>Установленная мощность, Гкал/ч</w:t>
            </w:r>
          </w:p>
        </w:tc>
        <w:tc>
          <w:tcPr>
            <w:tcW w:w="1808" w:type="dxa"/>
            <w:vMerge w:val="restart"/>
            <w:vAlign w:val="center"/>
          </w:tcPr>
          <w:p w:rsidR="00FA1F4E" w:rsidRDefault="003B2CFF">
            <w:pPr>
              <w:autoSpaceDE w:val="0"/>
              <w:autoSpaceDN w:val="0"/>
              <w:adjustRightInd w:val="0"/>
              <w:ind w:firstLine="0"/>
              <w:jc w:val="center"/>
              <w:rPr>
                <w:rFonts w:cs="Times New Roman"/>
                <w:sz w:val="22"/>
              </w:rPr>
            </w:pPr>
            <w:r>
              <w:rPr>
                <w:rFonts w:cs="Times New Roman"/>
                <w:sz w:val="22"/>
              </w:rPr>
              <w:t>Резерв мощности, Гкал/ч</w:t>
            </w:r>
          </w:p>
        </w:tc>
      </w:tr>
      <w:tr w:rsidR="00FA1F4E" w:rsidTr="00C874DA">
        <w:trPr>
          <w:trHeight w:val="109"/>
          <w:tblHeader/>
        </w:trPr>
        <w:tc>
          <w:tcPr>
            <w:tcW w:w="675" w:type="dxa"/>
            <w:vMerge/>
            <w:vAlign w:val="center"/>
          </w:tcPr>
          <w:p w:rsidR="00FA1F4E" w:rsidRDefault="00FA1F4E">
            <w:pPr>
              <w:autoSpaceDE w:val="0"/>
              <w:autoSpaceDN w:val="0"/>
              <w:adjustRightInd w:val="0"/>
              <w:ind w:firstLine="0"/>
              <w:jc w:val="center"/>
              <w:rPr>
                <w:rFonts w:cs="Times New Roman"/>
                <w:sz w:val="22"/>
              </w:rPr>
            </w:pPr>
          </w:p>
        </w:tc>
        <w:tc>
          <w:tcPr>
            <w:tcW w:w="2835" w:type="dxa"/>
            <w:vMerge/>
            <w:vAlign w:val="center"/>
          </w:tcPr>
          <w:p w:rsidR="00FA1F4E" w:rsidRDefault="00FA1F4E">
            <w:pPr>
              <w:autoSpaceDE w:val="0"/>
              <w:autoSpaceDN w:val="0"/>
              <w:adjustRightInd w:val="0"/>
              <w:ind w:firstLine="0"/>
              <w:jc w:val="center"/>
              <w:rPr>
                <w:rFonts w:cs="Times New Roman"/>
                <w:sz w:val="22"/>
              </w:rPr>
            </w:pPr>
          </w:p>
        </w:tc>
        <w:tc>
          <w:tcPr>
            <w:tcW w:w="1843" w:type="dxa"/>
            <w:vAlign w:val="center"/>
          </w:tcPr>
          <w:p w:rsidR="00FA1F4E" w:rsidRDefault="003B2CFF">
            <w:pPr>
              <w:autoSpaceDE w:val="0"/>
              <w:autoSpaceDN w:val="0"/>
              <w:adjustRightInd w:val="0"/>
              <w:ind w:firstLine="0"/>
              <w:jc w:val="center"/>
              <w:rPr>
                <w:rFonts w:cs="Times New Roman"/>
                <w:sz w:val="22"/>
              </w:rPr>
            </w:pPr>
            <w:r>
              <w:rPr>
                <w:rFonts w:cs="Times New Roman"/>
                <w:sz w:val="22"/>
              </w:rPr>
              <w:t>Существующая</w:t>
            </w:r>
          </w:p>
        </w:tc>
        <w:tc>
          <w:tcPr>
            <w:tcW w:w="1559" w:type="dxa"/>
            <w:vAlign w:val="center"/>
          </w:tcPr>
          <w:p w:rsidR="00FA1F4E" w:rsidRDefault="003B2CFF">
            <w:pPr>
              <w:autoSpaceDE w:val="0"/>
              <w:autoSpaceDN w:val="0"/>
              <w:adjustRightInd w:val="0"/>
              <w:ind w:firstLine="0"/>
              <w:jc w:val="center"/>
              <w:rPr>
                <w:rFonts w:cs="Times New Roman"/>
                <w:sz w:val="22"/>
              </w:rPr>
            </w:pPr>
            <w:r>
              <w:rPr>
                <w:rFonts w:cs="Times New Roman"/>
                <w:sz w:val="22"/>
              </w:rPr>
              <w:t xml:space="preserve">Планируемая </w:t>
            </w:r>
          </w:p>
        </w:tc>
        <w:tc>
          <w:tcPr>
            <w:tcW w:w="1701" w:type="dxa"/>
            <w:vMerge/>
            <w:vAlign w:val="center"/>
          </w:tcPr>
          <w:p w:rsidR="00FA1F4E" w:rsidRDefault="00FA1F4E">
            <w:pPr>
              <w:autoSpaceDE w:val="0"/>
              <w:autoSpaceDN w:val="0"/>
              <w:adjustRightInd w:val="0"/>
              <w:ind w:firstLine="0"/>
              <w:jc w:val="center"/>
              <w:rPr>
                <w:rFonts w:cs="Times New Roman"/>
                <w:sz w:val="22"/>
              </w:rPr>
            </w:pPr>
          </w:p>
        </w:tc>
        <w:tc>
          <w:tcPr>
            <w:tcW w:w="1808" w:type="dxa"/>
            <w:vMerge/>
            <w:vAlign w:val="center"/>
          </w:tcPr>
          <w:p w:rsidR="00FA1F4E" w:rsidRDefault="00FA1F4E">
            <w:pPr>
              <w:autoSpaceDE w:val="0"/>
              <w:autoSpaceDN w:val="0"/>
              <w:adjustRightInd w:val="0"/>
              <w:ind w:firstLine="0"/>
              <w:jc w:val="center"/>
              <w:rPr>
                <w:rFonts w:cs="Times New Roman"/>
                <w:sz w:val="22"/>
              </w:rPr>
            </w:pPr>
          </w:p>
        </w:tc>
      </w:tr>
      <w:tr w:rsidR="00FA1F4E">
        <w:trPr>
          <w:trHeight w:val="109"/>
        </w:trPr>
        <w:tc>
          <w:tcPr>
            <w:tcW w:w="675" w:type="dxa"/>
            <w:vAlign w:val="center"/>
          </w:tcPr>
          <w:p w:rsidR="00FA1F4E" w:rsidRDefault="003B2CFF">
            <w:pPr>
              <w:autoSpaceDE w:val="0"/>
              <w:autoSpaceDN w:val="0"/>
              <w:adjustRightInd w:val="0"/>
              <w:ind w:firstLine="0"/>
              <w:jc w:val="center"/>
              <w:rPr>
                <w:rFonts w:cs="Times New Roman"/>
                <w:sz w:val="22"/>
              </w:rPr>
            </w:pPr>
            <w:r>
              <w:rPr>
                <w:rFonts w:cs="Times New Roman"/>
                <w:sz w:val="22"/>
              </w:rPr>
              <w:t>1</w:t>
            </w:r>
          </w:p>
        </w:tc>
        <w:tc>
          <w:tcPr>
            <w:tcW w:w="2835" w:type="dxa"/>
            <w:vAlign w:val="center"/>
          </w:tcPr>
          <w:p w:rsidR="00FA1F4E" w:rsidRDefault="003B2CFF">
            <w:pPr>
              <w:autoSpaceDE w:val="0"/>
              <w:autoSpaceDN w:val="0"/>
              <w:adjustRightInd w:val="0"/>
              <w:ind w:firstLine="0"/>
              <w:jc w:val="center"/>
              <w:rPr>
                <w:rFonts w:cs="Times New Roman"/>
                <w:sz w:val="22"/>
              </w:rPr>
            </w:pPr>
            <w:r>
              <w:rPr>
                <w:rFonts w:cs="Times New Roman"/>
                <w:sz w:val="22"/>
              </w:rPr>
              <w:t>Котельная № 1</w:t>
            </w:r>
          </w:p>
        </w:tc>
        <w:tc>
          <w:tcPr>
            <w:tcW w:w="1843" w:type="dxa"/>
            <w:vAlign w:val="center"/>
          </w:tcPr>
          <w:p w:rsidR="00FA1F4E" w:rsidRDefault="003B2CFF">
            <w:pPr>
              <w:autoSpaceDE w:val="0"/>
              <w:autoSpaceDN w:val="0"/>
              <w:adjustRightInd w:val="0"/>
              <w:ind w:firstLine="0"/>
              <w:jc w:val="center"/>
              <w:rPr>
                <w:rFonts w:cs="Times New Roman"/>
                <w:sz w:val="22"/>
              </w:rPr>
            </w:pPr>
            <w:r>
              <w:rPr>
                <w:rFonts w:cs="Times New Roman"/>
                <w:sz w:val="22"/>
              </w:rPr>
              <w:t>11,767</w:t>
            </w:r>
          </w:p>
        </w:tc>
        <w:tc>
          <w:tcPr>
            <w:tcW w:w="1559" w:type="dxa"/>
            <w:vAlign w:val="center"/>
          </w:tcPr>
          <w:p w:rsidR="00FA1F4E" w:rsidRDefault="003B2CFF">
            <w:pPr>
              <w:autoSpaceDE w:val="0"/>
              <w:autoSpaceDN w:val="0"/>
              <w:adjustRightInd w:val="0"/>
              <w:ind w:firstLine="0"/>
              <w:jc w:val="center"/>
              <w:rPr>
                <w:rFonts w:cs="Times New Roman"/>
                <w:sz w:val="22"/>
              </w:rPr>
            </w:pPr>
            <w:r>
              <w:rPr>
                <w:rFonts w:cs="Times New Roman"/>
                <w:sz w:val="22"/>
              </w:rPr>
              <w:t>11,867</w:t>
            </w:r>
          </w:p>
        </w:tc>
        <w:tc>
          <w:tcPr>
            <w:tcW w:w="1701" w:type="dxa"/>
            <w:vAlign w:val="center"/>
          </w:tcPr>
          <w:p w:rsidR="00FA1F4E" w:rsidRDefault="003B2CFF">
            <w:pPr>
              <w:autoSpaceDE w:val="0"/>
              <w:autoSpaceDN w:val="0"/>
              <w:adjustRightInd w:val="0"/>
              <w:ind w:firstLine="0"/>
              <w:jc w:val="center"/>
              <w:rPr>
                <w:rFonts w:cs="Times New Roman"/>
                <w:sz w:val="22"/>
              </w:rPr>
            </w:pPr>
            <w:r>
              <w:rPr>
                <w:rFonts w:cs="Times New Roman"/>
                <w:sz w:val="22"/>
              </w:rPr>
              <w:t>17,822</w:t>
            </w:r>
          </w:p>
        </w:tc>
        <w:tc>
          <w:tcPr>
            <w:tcW w:w="1808" w:type="dxa"/>
            <w:vAlign w:val="center"/>
          </w:tcPr>
          <w:p w:rsidR="00FA1F4E" w:rsidRDefault="003B2CFF">
            <w:pPr>
              <w:autoSpaceDE w:val="0"/>
              <w:autoSpaceDN w:val="0"/>
              <w:adjustRightInd w:val="0"/>
              <w:ind w:firstLine="0"/>
              <w:jc w:val="center"/>
              <w:rPr>
                <w:rFonts w:cs="Times New Roman"/>
                <w:sz w:val="22"/>
              </w:rPr>
            </w:pPr>
            <w:r>
              <w:rPr>
                <w:rFonts w:cs="Times New Roman"/>
                <w:sz w:val="22"/>
              </w:rPr>
              <w:t>5,955</w:t>
            </w:r>
          </w:p>
        </w:tc>
      </w:tr>
      <w:tr w:rsidR="00FA1F4E">
        <w:trPr>
          <w:trHeight w:val="109"/>
        </w:trPr>
        <w:tc>
          <w:tcPr>
            <w:tcW w:w="675" w:type="dxa"/>
            <w:vAlign w:val="center"/>
          </w:tcPr>
          <w:p w:rsidR="00FA1F4E" w:rsidRDefault="003B2CFF">
            <w:pPr>
              <w:autoSpaceDE w:val="0"/>
              <w:autoSpaceDN w:val="0"/>
              <w:adjustRightInd w:val="0"/>
              <w:ind w:firstLine="0"/>
              <w:jc w:val="center"/>
              <w:rPr>
                <w:rFonts w:cs="Times New Roman"/>
                <w:sz w:val="22"/>
              </w:rPr>
            </w:pPr>
            <w:r>
              <w:rPr>
                <w:rFonts w:cs="Times New Roman"/>
                <w:sz w:val="22"/>
              </w:rPr>
              <w:t>2</w:t>
            </w:r>
          </w:p>
        </w:tc>
        <w:tc>
          <w:tcPr>
            <w:tcW w:w="2835" w:type="dxa"/>
            <w:vAlign w:val="center"/>
          </w:tcPr>
          <w:p w:rsidR="00FA1F4E" w:rsidRDefault="003B2CFF">
            <w:pPr>
              <w:autoSpaceDE w:val="0"/>
              <w:autoSpaceDN w:val="0"/>
              <w:adjustRightInd w:val="0"/>
              <w:ind w:firstLine="0"/>
              <w:jc w:val="center"/>
              <w:rPr>
                <w:rFonts w:cs="Times New Roman"/>
                <w:sz w:val="22"/>
              </w:rPr>
            </w:pPr>
            <w:r>
              <w:rPr>
                <w:rFonts w:cs="Times New Roman"/>
                <w:sz w:val="22"/>
              </w:rPr>
              <w:t>Котельная № 3</w:t>
            </w:r>
          </w:p>
        </w:tc>
        <w:tc>
          <w:tcPr>
            <w:tcW w:w="1843" w:type="dxa"/>
            <w:vAlign w:val="center"/>
          </w:tcPr>
          <w:p w:rsidR="00FA1F4E" w:rsidRDefault="003B2CFF">
            <w:pPr>
              <w:autoSpaceDE w:val="0"/>
              <w:autoSpaceDN w:val="0"/>
              <w:adjustRightInd w:val="0"/>
              <w:ind w:firstLine="0"/>
              <w:jc w:val="center"/>
              <w:rPr>
                <w:rFonts w:cs="Times New Roman"/>
                <w:sz w:val="22"/>
              </w:rPr>
            </w:pPr>
            <w:r>
              <w:rPr>
                <w:rFonts w:cs="Times New Roman"/>
                <w:sz w:val="22"/>
              </w:rPr>
              <w:t>5,192</w:t>
            </w:r>
          </w:p>
        </w:tc>
        <w:tc>
          <w:tcPr>
            <w:tcW w:w="1559" w:type="dxa"/>
            <w:vAlign w:val="center"/>
          </w:tcPr>
          <w:p w:rsidR="00FA1F4E" w:rsidRDefault="003B2CFF">
            <w:pPr>
              <w:autoSpaceDE w:val="0"/>
              <w:autoSpaceDN w:val="0"/>
              <w:adjustRightInd w:val="0"/>
              <w:ind w:firstLine="0"/>
              <w:jc w:val="center"/>
              <w:rPr>
                <w:rFonts w:cs="Times New Roman"/>
                <w:sz w:val="22"/>
              </w:rPr>
            </w:pPr>
            <w:r>
              <w:rPr>
                <w:rFonts w:cs="Times New Roman"/>
                <w:sz w:val="22"/>
              </w:rPr>
              <w:t>5,772</w:t>
            </w:r>
          </w:p>
        </w:tc>
        <w:tc>
          <w:tcPr>
            <w:tcW w:w="1701" w:type="dxa"/>
            <w:vAlign w:val="center"/>
          </w:tcPr>
          <w:p w:rsidR="00FA1F4E" w:rsidRDefault="003B2CFF">
            <w:pPr>
              <w:autoSpaceDE w:val="0"/>
              <w:autoSpaceDN w:val="0"/>
              <w:adjustRightInd w:val="0"/>
              <w:ind w:firstLine="0"/>
              <w:jc w:val="center"/>
              <w:rPr>
                <w:rFonts w:cs="Times New Roman"/>
                <w:sz w:val="22"/>
              </w:rPr>
            </w:pPr>
            <w:r>
              <w:rPr>
                <w:rFonts w:cs="Times New Roman"/>
                <w:sz w:val="22"/>
              </w:rPr>
              <w:t>8,758</w:t>
            </w:r>
          </w:p>
        </w:tc>
        <w:tc>
          <w:tcPr>
            <w:tcW w:w="1808" w:type="dxa"/>
            <w:vAlign w:val="center"/>
          </w:tcPr>
          <w:p w:rsidR="00FA1F4E" w:rsidRDefault="003B2CFF">
            <w:pPr>
              <w:autoSpaceDE w:val="0"/>
              <w:autoSpaceDN w:val="0"/>
              <w:adjustRightInd w:val="0"/>
              <w:ind w:firstLine="0"/>
              <w:jc w:val="center"/>
              <w:rPr>
                <w:rFonts w:cs="Times New Roman"/>
                <w:sz w:val="22"/>
              </w:rPr>
            </w:pPr>
            <w:r>
              <w:rPr>
                <w:rFonts w:cs="Times New Roman"/>
                <w:sz w:val="22"/>
              </w:rPr>
              <w:t>2,986</w:t>
            </w:r>
          </w:p>
        </w:tc>
      </w:tr>
      <w:tr w:rsidR="00FA1F4E">
        <w:trPr>
          <w:trHeight w:val="109"/>
        </w:trPr>
        <w:tc>
          <w:tcPr>
            <w:tcW w:w="675" w:type="dxa"/>
            <w:vAlign w:val="center"/>
          </w:tcPr>
          <w:p w:rsidR="00FA1F4E" w:rsidRDefault="003B2CFF">
            <w:pPr>
              <w:autoSpaceDE w:val="0"/>
              <w:autoSpaceDN w:val="0"/>
              <w:adjustRightInd w:val="0"/>
              <w:ind w:firstLine="0"/>
              <w:jc w:val="center"/>
              <w:rPr>
                <w:rFonts w:cs="Times New Roman"/>
                <w:sz w:val="22"/>
              </w:rPr>
            </w:pPr>
            <w:r>
              <w:rPr>
                <w:rFonts w:cs="Times New Roman"/>
                <w:sz w:val="22"/>
              </w:rPr>
              <w:t>3</w:t>
            </w:r>
          </w:p>
        </w:tc>
        <w:tc>
          <w:tcPr>
            <w:tcW w:w="2835" w:type="dxa"/>
            <w:vAlign w:val="center"/>
          </w:tcPr>
          <w:p w:rsidR="00FA1F4E" w:rsidRDefault="003B2CFF">
            <w:pPr>
              <w:autoSpaceDE w:val="0"/>
              <w:autoSpaceDN w:val="0"/>
              <w:adjustRightInd w:val="0"/>
              <w:ind w:firstLine="0"/>
              <w:jc w:val="center"/>
              <w:rPr>
                <w:rFonts w:cs="Times New Roman"/>
                <w:sz w:val="22"/>
              </w:rPr>
            </w:pPr>
            <w:r>
              <w:rPr>
                <w:rFonts w:cs="Times New Roman"/>
                <w:sz w:val="22"/>
              </w:rPr>
              <w:t>Котельная № 4</w:t>
            </w:r>
          </w:p>
        </w:tc>
        <w:tc>
          <w:tcPr>
            <w:tcW w:w="1843" w:type="dxa"/>
            <w:vAlign w:val="center"/>
          </w:tcPr>
          <w:p w:rsidR="00FA1F4E" w:rsidRDefault="003B2CFF">
            <w:pPr>
              <w:autoSpaceDE w:val="0"/>
              <w:autoSpaceDN w:val="0"/>
              <w:adjustRightInd w:val="0"/>
              <w:ind w:firstLine="0"/>
              <w:jc w:val="center"/>
              <w:rPr>
                <w:rFonts w:cs="Times New Roman"/>
                <w:sz w:val="22"/>
              </w:rPr>
            </w:pPr>
            <w:r>
              <w:rPr>
                <w:rFonts w:cs="Times New Roman"/>
                <w:sz w:val="22"/>
              </w:rPr>
              <w:t>1,725</w:t>
            </w:r>
          </w:p>
        </w:tc>
        <w:tc>
          <w:tcPr>
            <w:tcW w:w="1559" w:type="dxa"/>
            <w:vAlign w:val="center"/>
          </w:tcPr>
          <w:p w:rsidR="00FA1F4E" w:rsidRDefault="003B2CFF">
            <w:pPr>
              <w:autoSpaceDE w:val="0"/>
              <w:autoSpaceDN w:val="0"/>
              <w:adjustRightInd w:val="0"/>
              <w:ind w:firstLine="0"/>
              <w:jc w:val="center"/>
              <w:rPr>
                <w:rFonts w:cs="Times New Roman"/>
                <w:sz w:val="22"/>
              </w:rPr>
            </w:pPr>
            <w:r>
              <w:rPr>
                <w:rFonts w:cs="Times New Roman"/>
                <w:sz w:val="22"/>
              </w:rPr>
              <w:t>1,825</w:t>
            </w:r>
          </w:p>
        </w:tc>
        <w:tc>
          <w:tcPr>
            <w:tcW w:w="1701" w:type="dxa"/>
            <w:vAlign w:val="center"/>
          </w:tcPr>
          <w:p w:rsidR="00FA1F4E" w:rsidRDefault="003B2CFF">
            <w:pPr>
              <w:autoSpaceDE w:val="0"/>
              <w:autoSpaceDN w:val="0"/>
              <w:adjustRightInd w:val="0"/>
              <w:ind w:firstLine="0"/>
              <w:jc w:val="center"/>
              <w:rPr>
                <w:rFonts w:cs="Times New Roman"/>
                <w:sz w:val="22"/>
              </w:rPr>
            </w:pPr>
            <w:r>
              <w:rPr>
                <w:rFonts w:cs="Times New Roman"/>
                <w:sz w:val="22"/>
              </w:rPr>
              <w:t>2,586</w:t>
            </w:r>
          </w:p>
        </w:tc>
        <w:tc>
          <w:tcPr>
            <w:tcW w:w="1808" w:type="dxa"/>
            <w:vAlign w:val="center"/>
          </w:tcPr>
          <w:p w:rsidR="00FA1F4E" w:rsidRDefault="003B2CFF">
            <w:pPr>
              <w:autoSpaceDE w:val="0"/>
              <w:autoSpaceDN w:val="0"/>
              <w:adjustRightInd w:val="0"/>
              <w:ind w:firstLine="0"/>
              <w:jc w:val="center"/>
              <w:rPr>
                <w:rFonts w:cs="Times New Roman"/>
                <w:sz w:val="22"/>
              </w:rPr>
            </w:pPr>
            <w:r>
              <w:rPr>
                <w:rFonts w:cs="Times New Roman"/>
                <w:sz w:val="22"/>
              </w:rPr>
              <w:t>0,761</w:t>
            </w:r>
          </w:p>
        </w:tc>
      </w:tr>
      <w:tr w:rsidR="00FA1F4E">
        <w:trPr>
          <w:trHeight w:val="109"/>
        </w:trPr>
        <w:tc>
          <w:tcPr>
            <w:tcW w:w="675" w:type="dxa"/>
            <w:vAlign w:val="center"/>
          </w:tcPr>
          <w:p w:rsidR="00FA1F4E" w:rsidRDefault="003B2CFF">
            <w:pPr>
              <w:autoSpaceDE w:val="0"/>
              <w:autoSpaceDN w:val="0"/>
              <w:adjustRightInd w:val="0"/>
              <w:ind w:firstLine="0"/>
              <w:jc w:val="center"/>
              <w:rPr>
                <w:rFonts w:cs="Times New Roman"/>
                <w:sz w:val="22"/>
              </w:rPr>
            </w:pPr>
            <w:r>
              <w:rPr>
                <w:rFonts w:cs="Times New Roman"/>
                <w:sz w:val="22"/>
              </w:rPr>
              <w:lastRenderedPageBreak/>
              <w:t>4</w:t>
            </w:r>
          </w:p>
        </w:tc>
        <w:tc>
          <w:tcPr>
            <w:tcW w:w="2835" w:type="dxa"/>
            <w:vAlign w:val="center"/>
          </w:tcPr>
          <w:p w:rsidR="00FA1F4E" w:rsidRDefault="003B2CFF">
            <w:pPr>
              <w:autoSpaceDE w:val="0"/>
              <w:autoSpaceDN w:val="0"/>
              <w:adjustRightInd w:val="0"/>
              <w:ind w:firstLine="0"/>
              <w:jc w:val="center"/>
              <w:rPr>
                <w:rFonts w:cs="Times New Roman"/>
                <w:sz w:val="22"/>
              </w:rPr>
            </w:pPr>
            <w:r>
              <w:rPr>
                <w:rFonts w:cs="Times New Roman"/>
                <w:sz w:val="22"/>
              </w:rPr>
              <w:t>Котельная № 18</w:t>
            </w:r>
          </w:p>
        </w:tc>
        <w:tc>
          <w:tcPr>
            <w:tcW w:w="1843" w:type="dxa"/>
            <w:vAlign w:val="center"/>
          </w:tcPr>
          <w:p w:rsidR="00FA1F4E" w:rsidRDefault="003B2CFF">
            <w:pPr>
              <w:autoSpaceDE w:val="0"/>
              <w:autoSpaceDN w:val="0"/>
              <w:adjustRightInd w:val="0"/>
              <w:ind w:firstLine="0"/>
              <w:jc w:val="center"/>
              <w:rPr>
                <w:rFonts w:cs="Times New Roman"/>
                <w:sz w:val="22"/>
              </w:rPr>
            </w:pPr>
            <w:r>
              <w:rPr>
                <w:rFonts w:cs="Times New Roman"/>
                <w:sz w:val="22"/>
              </w:rPr>
              <w:t>2,712</w:t>
            </w:r>
          </w:p>
        </w:tc>
        <w:tc>
          <w:tcPr>
            <w:tcW w:w="1559" w:type="dxa"/>
            <w:vAlign w:val="center"/>
          </w:tcPr>
          <w:p w:rsidR="00FA1F4E" w:rsidRDefault="003B2CFF">
            <w:pPr>
              <w:autoSpaceDE w:val="0"/>
              <w:autoSpaceDN w:val="0"/>
              <w:adjustRightInd w:val="0"/>
              <w:ind w:firstLine="0"/>
              <w:jc w:val="center"/>
              <w:rPr>
                <w:rFonts w:cs="Times New Roman"/>
                <w:sz w:val="22"/>
              </w:rPr>
            </w:pPr>
            <w:r>
              <w:rPr>
                <w:rFonts w:cs="Times New Roman"/>
                <w:sz w:val="22"/>
              </w:rPr>
              <w:t>4,112</w:t>
            </w:r>
          </w:p>
        </w:tc>
        <w:tc>
          <w:tcPr>
            <w:tcW w:w="1701" w:type="dxa"/>
            <w:vAlign w:val="center"/>
          </w:tcPr>
          <w:p w:rsidR="00FA1F4E" w:rsidRDefault="003B2CFF">
            <w:pPr>
              <w:autoSpaceDE w:val="0"/>
              <w:autoSpaceDN w:val="0"/>
              <w:adjustRightInd w:val="0"/>
              <w:ind w:firstLine="0"/>
              <w:jc w:val="center"/>
              <w:rPr>
                <w:rFonts w:cs="Times New Roman"/>
                <w:sz w:val="22"/>
              </w:rPr>
            </w:pPr>
            <w:r>
              <w:rPr>
                <w:rFonts w:cs="Times New Roman"/>
                <w:sz w:val="22"/>
              </w:rPr>
              <w:t>7,739</w:t>
            </w:r>
          </w:p>
        </w:tc>
        <w:tc>
          <w:tcPr>
            <w:tcW w:w="1808" w:type="dxa"/>
            <w:vAlign w:val="center"/>
          </w:tcPr>
          <w:p w:rsidR="00FA1F4E" w:rsidRDefault="003B2CFF">
            <w:pPr>
              <w:autoSpaceDE w:val="0"/>
              <w:autoSpaceDN w:val="0"/>
              <w:adjustRightInd w:val="0"/>
              <w:ind w:firstLine="0"/>
              <w:jc w:val="center"/>
              <w:rPr>
                <w:rFonts w:cs="Times New Roman"/>
                <w:sz w:val="22"/>
              </w:rPr>
            </w:pPr>
            <w:r>
              <w:rPr>
                <w:rFonts w:cs="Times New Roman"/>
                <w:sz w:val="22"/>
              </w:rPr>
              <w:t>3,627</w:t>
            </w:r>
          </w:p>
        </w:tc>
      </w:tr>
    </w:tbl>
    <w:p w:rsidR="00FA1F4E" w:rsidRDefault="003B2CFF">
      <w:pPr>
        <w:rPr>
          <w:rFonts w:cs="Times New Roman"/>
          <w:szCs w:val="24"/>
        </w:rPr>
      </w:pPr>
      <w: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 Обеспечение теплоснабжением планируемой индивидуальной жилой застройки предусмотрено от локальных источников теплоснабжения (за счет индивидуальных котлов на сетевом природном газе).</w:t>
      </w:r>
    </w:p>
    <w:p w:rsidR="00FA1F4E" w:rsidRDefault="003B2CFF">
      <w:pPr>
        <w:rPr>
          <w:rFonts w:cs="Times New Roman"/>
          <w:szCs w:val="24"/>
        </w:rPr>
      </w:pPr>
      <w:r>
        <w:rPr>
          <w:rFonts w:cs="Times New Roman"/>
          <w:szCs w:val="24"/>
        </w:rPr>
        <w:t>Подключение возможных предприятий, в составе существующих инвестиционных площадок западной и юго-восточной промышленных зон города, к централизованной системе теплоснабжения не предусматривается. Теплоснабжение таких объектов будет осуществляться автономно.</w:t>
      </w:r>
    </w:p>
    <w:p w:rsidR="00FA1F4E" w:rsidRDefault="003B2CFF">
      <w:r>
        <w:t>В связи с отсутствием изменений в нормативах градостроительного проектирования уточнение параметров планируемых объектов в области теплоснабжения не требуется.</w:t>
      </w:r>
    </w:p>
    <w:p w:rsidR="00FA1F4E" w:rsidRDefault="00FA1F4E"/>
    <w:p w:rsidR="00FA1F4E" w:rsidRDefault="003B2CFF">
      <w:pPr>
        <w:rPr>
          <w:b/>
        </w:rPr>
      </w:pPr>
      <w:r>
        <w:rPr>
          <w:b/>
        </w:rPr>
        <w:t>Объекты водоснабжения населения</w:t>
      </w:r>
    </w:p>
    <w:p w:rsidR="00FA1F4E" w:rsidRDefault="003B2CFF">
      <w:r>
        <w:t xml:space="preserve">Сети водоснабжения Лодейнопольского городского поселения находятся в критическом состоянии, поскольку их эксплуатационный срок давно истек. Это является причиной повышенного количества аварий в сетях, большого количества потерь воды в сетях (более 20 %), изменения химического состава воды (повышенное количество металла в воде). В целях устранения этих проблем необходимо проведение мероприятий по замене трубопровода. Также требуется прокладка новых сетей водоснабжения к объектам перспективной жилой застройки с ориентировочной протяженностью 17,408 км диаметром 69 </w:t>
      </w:r>
      <w:r>
        <w:rPr>
          <w:rFonts w:cs="Times New Roman"/>
          <w:sz w:val="22"/>
        </w:rPr>
        <w:t>–</w:t>
      </w:r>
      <w:r>
        <w:t xml:space="preserve"> 159 мм.</w:t>
      </w:r>
    </w:p>
    <w:p w:rsidR="00FA1F4E" w:rsidRDefault="003B2CFF">
      <w:r>
        <w:t xml:space="preserve">В реконструкции (капитальном ремонте) нуждаются водозаборные очистные сооружения города Лодейное Поле. Период ввода в эксплуатацию приходится на 1970 </w:t>
      </w:r>
      <w:r>
        <w:rPr>
          <w:rFonts w:cs="Times New Roman"/>
          <w:sz w:val="22"/>
        </w:rPr>
        <w:t>–</w:t>
      </w:r>
      <w:r>
        <w:t xml:space="preserve"> 1988 годы, основное оборудование сооружения технически и физически устарело.</w:t>
      </w:r>
    </w:p>
    <w:p w:rsidR="00FA1F4E" w:rsidRDefault="003B2CFF">
      <w:r>
        <w:t xml:space="preserve">В соответствии со схемой водоснабжения и водоотведения МО «Лодейнопольское городское поселение» Ленинградской области на 2021 </w:t>
      </w:r>
      <w:r>
        <w:rPr>
          <w:rFonts w:cs="Times New Roman"/>
          <w:sz w:val="22"/>
        </w:rPr>
        <w:t>–</w:t>
      </w:r>
      <w:r>
        <w:t xml:space="preserve"> 2035 годы в городе Лодейное Поле предусмотрены следующие мероприятия по развитию объектов местного значения в области водоснабжения населения:</w:t>
      </w:r>
    </w:p>
    <w:p w:rsidR="00FA1F4E" w:rsidRDefault="003B2CFF">
      <w:pPr>
        <w:pStyle w:val="afff"/>
        <w:numPr>
          <w:ilvl w:val="0"/>
          <w:numId w:val="55"/>
        </w:numPr>
      </w:pPr>
      <w:r>
        <w:t xml:space="preserve">перекладка действующих водопроводных сетей холодного водоснабжения, протяженностью 73,85 км, диаметром 80 </w:t>
      </w:r>
      <w:r>
        <w:rPr>
          <w:rFonts w:cs="Times New Roman"/>
          <w:sz w:val="22"/>
        </w:rPr>
        <w:t>–</w:t>
      </w:r>
      <w:r>
        <w:t xml:space="preserve"> 600 мм (2022 – 2035 годы);</w:t>
      </w:r>
    </w:p>
    <w:p w:rsidR="00FA1F4E" w:rsidRDefault="003B2CFF">
      <w:pPr>
        <w:pStyle w:val="afff"/>
        <w:numPr>
          <w:ilvl w:val="0"/>
          <w:numId w:val="55"/>
        </w:numPr>
      </w:pPr>
      <w:r>
        <w:t xml:space="preserve">перекладка действующих водопроводных сетей холодного водоснабжения, протяженностью 9,8 км, диаметром 80 </w:t>
      </w:r>
      <w:r>
        <w:rPr>
          <w:rFonts w:cs="Times New Roman"/>
          <w:sz w:val="22"/>
        </w:rPr>
        <w:t>–</w:t>
      </w:r>
      <w:r>
        <w:t xml:space="preserve"> 600 мм (2022 – 2035 годы);</w:t>
      </w:r>
    </w:p>
    <w:p w:rsidR="00FA1F4E" w:rsidRDefault="003B2CFF">
      <w:pPr>
        <w:pStyle w:val="afff"/>
        <w:numPr>
          <w:ilvl w:val="0"/>
          <w:numId w:val="55"/>
        </w:numPr>
      </w:pPr>
      <w:r>
        <w:t>установка локальных очистных сооружений на сбросе промывных вод в р. Свирь, производительностью не более 500 м</w:t>
      </w:r>
      <w:r>
        <w:rPr>
          <w:vertAlign w:val="superscript"/>
        </w:rPr>
        <w:t>3</w:t>
      </w:r>
      <w:r>
        <w:t xml:space="preserve"> /сут (2022 – 2023 годы);</w:t>
      </w:r>
    </w:p>
    <w:p w:rsidR="00FA1F4E" w:rsidRDefault="003B2CFF">
      <w:pPr>
        <w:pStyle w:val="afff"/>
        <w:numPr>
          <w:ilvl w:val="0"/>
          <w:numId w:val="55"/>
        </w:numPr>
      </w:pPr>
      <w:r>
        <w:t>реконструкция водозаборных сооружений в г. Лодейное Поле (2023 год).</w:t>
      </w:r>
    </w:p>
    <w:p w:rsidR="00FA1F4E" w:rsidRDefault="003B2CFF">
      <w:r>
        <w:t xml:space="preserve">Данные объекты в соответствии со схемой водоснабжения и водоотведения МО «Лодейнопольское городское поселение» Ленинградской области на 2021 </w:t>
      </w:r>
      <w:r>
        <w:rPr>
          <w:rFonts w:cs="Times New Roman"/>
          <w:sz w:val="22"/>
        </w:rPr>
        <w:t>–</w:t>
      </w:r>
      <w:r>
        <w:t xml:space="preserve"> 2035 годы, кроме реконструкции водозаборных сооружений, учтены действующим генеральным планом. </w:t>
      </w:r>
    </w:p>
    <w:p w:rsidR="00FA1F4E" w:rsidRDefault="003B2CFF">
      <w:r>
        <w:t xml:space="preserve">В настоящее время по заказу ГУП «Леноблводоканал» выполняется работа по разработке Инвестиционной программы Государственного унитарного предприятия «Водоканал Ленинградской области» по развитию систем водоснабжения и водоотведения Лодейнопольского района Ленинградской области на 2023 - 2033 годы, в рамках которой будут уточнены сведения о планируемых объектах местного значения в области водоснабжения населения. Цели разработки и реализации Инвестиционной программы: </w:t>
      </w:r>
    </w:p>
    <w:p w:rsidR="00FA1F4E" w:rsidRDefault="003B2CFF">
      <w:pPr>
        <w:pStyle w:val="afff"/>
        <w:numPr>
          <w:ilvl w:val="0"/>
          <w:numId w:val="56"/>
        </w:numPr>
      </w:pPr>
      <w:r>
        <w:t xml:space="preserve">соответствие целям и задачам, установленным схемой водоснабжения и водоотведения соответствующего муниципального образования; </w:t>
      </w:r>
    </w:p>
    <w:p w:rsidR="00FA1F4E" w:rsidRDefault="003B2CFF">
      <w:pPr>
        <w:pStyle w:val="afff"/>
        <w:numPr>
          <w:ilvl w:val="0"/>
          <w:numId w:val="56"/>
        </w:numPr>
      </w:pPr>
      <w:r>
        <w:lastRenderedPageBreak/>
        <w:t xml:space="preserve">обеспечение надежности и эффективности поставки коммунальных ресурсов за счет строительства, реконструкции, модернизации инженерных систем водоснабжения и водоотведения; </w:t>
      </w:r>
    </w:p>
    <w:p w:rsidR="00FA1F4E" w:rsidRDefault="003B2CFF">
      <w:pPr>
        <w:pStyle w:val="afff"/>
        <w:numPr>
          <w:ilvl w:val="0"/>
          <w:numId w:val="56"/>
        </w:numPr>
      </w:pPr>
      <w:r>
        <w:t xml:space="preserve">обеспечение технической возможности подключения (технологического присоединения) к централизованным системам водоснабжения и водоотведения новых объектов; </w:t>
      </w:r>
    </w:p>
    <w:p w:rsidR="00FA1F4E" w:rsidRDefault="003B2CFF">
      <w:pPr>
        <w:pStyle w:val="afff"/>
        <w:numPr>
          <w:ilvl w:val="0"/>
          <w:numId w:val="56"/>
        </w:numPr>
      </w:pPr>
      <w:r>
        <w:t xml:space="preserve">строительство (реконструкция) водопроводных сетей для подключения объектов капитального строительства от границы существующих сетей до границы земельных участков этих объектов, финансируемое за счет взимания с застройщиков платы за подключение (технологическое присоединение) в части ставки тарифа на подключение (технологическое присоединение) за протяженность сети; </w:t>
      </w:r>
    </w:p>
    <w:p w:rsidR="00FA1F4E" w:rsidRDefault="003B2CFF">
      <w:pPr>
        <w:pStyle w:val="afff"/>
        <w:numPr>
          <w:ilvl w:val="0"/>
          <w:numId w:val="56"/>
        </w:numPr>
      </w:pPr>
      <w:r>
        <w:t xml:space="preserve">достижение плановых показателей надежности, качества и энергетической эффективности объектов централизованных систем водоснабжения и водоотведения; </w:t>
      </w:r>
    </w:p>
    <w:p w:rsidR="00FA1F4E" w:rsidRDefault="003B2CFF">
      <w:pPr>
        <w:pStyle w:val="afff"/>
        <w:numPr>
          <w:ilvl w:val="0"/>
          <w:numId w:val="56"/>
        </w:numPr>
      </w:pPr>
      <w:r>
        <w:t xml:space="preserve">повышение энергетической эффективности и энергосбережения; </w:t>
      </w:r>
    </w:p>
    <w:p w:rsidR="00FA1F4E" w:rsidRDefault="003B2CFF">
      <w:pPr>
        <w:pStyle w:val="afff"/>
        <w:numPr>
          <w:ilvl w:val="0"/>
          <w:numId w:val="56"/>
        </w:numPr>
      </w:pPr>
      <w:r>
        <w:t>защита централизованных систем водоснабжения и водоотведения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FA1F4E" w:rsidRDefault="003B2CFF">
      <w:r>
        <w:t xml:space="preserve">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мероприятия по строительству и реконструкции объектов местного значения поселения в области водоснабжения населения уточнены с учетом перечня мероприятий по строительству, модернизации и (или) реконструкции объектов централизованных систем водоснабжения, планируемых к включению в Инвестиционную программу Государственного унитарного предприятия «Водоканал Ленинградской области» по развитию систем водоснабжения и водоотведения Лодейнопольского района Ленинградской области на 2023 </w:t>
      </w:r>
      <w:r>
        <w:rPr>
          <w:rFonts w:cs="Times New Roman"/>
          <w:sz w:val="22"/>
        </w:rPr>
        <w:t>–</w:t>
      </w:r>
      <w:r>
        <w:t xml:space="preserve"> 2033 годы (для реализации в границах территории, применительно к которой вносятся изменения в генеральный план):</w:t>
      </w:r>
    </w:p>
    <w:p w:rsidR="00FA1F4E" w:rsidRDefault="003B2CFF">
      <w:pPr>
        <w:pStyle w:val="afff"/>
        <w:numPr>
          <w:ilvl w:val="0"/>
          <w:numId w:val="57"/>
        </w:numPr>
      </w:pPr>
      <w:r>
        <w:t>вторая очередь реконструкции системы водоснабжения южной части города Лодейное Поле (участок реконструкции ограничен улицами: ул. Интернациональная, ул. Железнодорожная, ул. Свердлова, Сельский пер.);</w:t>
      </w:r>
    </w:p>
    <w:p w:rsidR="00FA1F4E" w:rsidRDefault="003B2CFF">
      <w:pPr>
        <w:pStyle w:val="afff"/>
        <w:numPr>
          <w:ilvl w:val="0"/>
          <w:numId w:val="57"/>
        </w:numPr>
      </w:pPr>
      <w:r>
        <w:t>реконструкция системы водоснабжения в районе ул. Талалихина (бывший военный городок № 3, в/ч 23438);</w:t>
      </w:r>
    </w:p>
    <w:p w:rsidR="00FA1F4E" w:rsidRDefault="003B2CFF">
      <w:pPr>
        <w:pStyle w:val="afff"/>
        <w:numPr>
          <w:ilvl w:val="0"/>
          <w:numId w:val="57"/>
        </w:numPr>
      </w:pPr>
      <w:r>
        <w:t>реконструкция водовода от ВОС в г. Лодейное Поле до ул. Гагарина, ул. Республиканский тракт;</w:t>
      </w:r>
    </w:p>
    <w:p w:rsidR="00FA1F4E" w:rsidRDefault="003B2CFF">
      <w:pPr>
        <w:pStyle w:val="afff"/>
        <w:numPr>
          <w:ilvl w:val="0"/>
          <w:numId w:val="57"/>
        </w:numPr>
      </w:pPr>
      <w:r>
        <w:t>реконструкция сетей водопровода от Лодейного Поля до КОС г. Лодейное Поле;</w:t>
      </w:r>
    </w:p>
    <w:p w:rsidR="00FA1F4E" w:rsidRDefault="003B2CFF">
      <w:pPr>
        <w:pStyle w:val="afff"/>
        <w:numPr>
          <w:ilvl w:val="0"/>
          <w:numId w:val="57"/>
        </w:numPr>
      </w:pPr>
      <w:r>
        <w:t>реконструкция водоочистных сооружений в г. Лодейное Поле Лодейнопольского муниципального района Ленинградской области (г. Лодейное Поле, территория Мирошкиничи, д. 2);</w:t>
      </w:r>
    </w:p>
    <w:p w:rsidR="00FA1F4E" w:rsidRDefault="003B2CFF">
      <w:pPr>
        <w:pStyle w:val="afff"/>
        <w:numPr>
          <w:ilvl w:val="0"/>
          <w:numId w:val="57"/>
        </w:numPr>
      </w:pPr>
      <w:r>
        <w:t>строительство сетей водоснабжения для подключения новых абонентов</w:t>
      </w:r>
      <w:r>
        <w:rPr>
          <w:rStyle w:val="af8"/>
        </w:rPr>
        <w:footnoteReference w:id="7"/>
      </w:r>
      <w:r>
        <w:t>, диаметром 110 мм, протяженность: 4000 м.</w:t>
      </w:r>
    </w:p>
    <w:p w:rsidR="00FA1F4E" w:rsidRDefault="00FA1F4E">
      <w:pPr>
        <w:ind w:firstLine="0"/>
      </w:pPr>
    </w:p>
    <w:p w:rsidR="00FA1F4E" w:rsidRDefault="003B2CFF">
      <w:r>
        <w:t xml:space="preserve">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в перечень планируемых объектов включается реконструкция водоочистных сооружений в г. Лодейное Поле. </w:t>
      </w:r>
    </w:p>
    <w:p w:rsidR="00FA1F4E" w:rsidRDefault="003B2CFF">
      <w:r>
        <w:t xml:space="preserve">Для реализации мероприятия по реконструкции водоочистных сооружений в г. Лодейное поле Лодейнопольского муниципального района Ленинградской области, которое включено в государственную программу Ленинградской области «Обеспечение устойчивого функционирования и развития коммунальной и инженерной инфраструктуры и повышение </w:t>
      </w:r>
      <w:r>
        <w:lastRenderedPageBreak/>
        <w:t>энергоэффективности в Ленинградской области» на 2022 год, необходимо включение земельных участков, на которых расположены водоочистные сооружения, планируемые к реконструкции, в границу города Лодейное Поле. Обоснование данного мероприятия представлено в разделе 6.</w:t>
      </w:r>
    </w:p>
    <w:p w:rsidR="00FA1F4E" w:rsidRDefault="003B2CFF">
      <w:r>
        <w:t xml:space="preserve">В связи с отсутствием предложений по дополнительному подключению существующих и планируемых объектов к системе централизованного водоснабжения, изменения в части параметров планируемых объектов местного значения в области водоснабжения населения не вносятся. </w:t>
      </w:r>
    </w:p>
    <w:p w:rsidR="00FA1F4E" w:rsidRDefault="00FA1F4E">
      <w:pPr>
        <w:ind w:firstLine="0"/>
      </w:pPr>
    </w:p>
    <w:p w:rsidR="00FA1F4E" w:rsidRDefault="003B2CFF">
      <w:pPr>
        <w:rPr>
          <w:b/>
        </w:rPr>
      </w:pPr>
      <w:r>
        <w:rPr>
          <w:b/>
        </w:rPr>
        <w:t>Оценка планируемых объемов водопотребления на хозяйственно-питьевые нужды населения</w:t>
      </w:r>
    </w:p>
    <w:p w:rsidR="00FA1F4E" w:rsidRDefault="003B2CFF">
      <w:r>
        <w:t>В соответствии с пунктом 12.2 СП 42.13330.2016 проектирование систем хозяйственно-питьевого водоснабжения и канализации городов и других населенных пунктов следует проводить в соответствии с СП 31.13330, СП 32.13330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FA1F4E" w:rsidRDefault="00FA1F4E"/>
    <w:p w:rsidR="00FA1F4E" w:rsidRDefault="003B2CFF">
      <w:pPr>
        <w:ind w:firstLine="0"/>
        <w:jc w:val="center"/>
      </w:pPr>
      <w:bookmarkStart w:id="27" w:name="_Toc51852399"/>
      <w:r>
        <w:t>Таблица 11. Прогноз спроса на коммунальные ресурсы по водоснабжению жилищного фонда г. Лодейное Поле на расчетный срок</w:t>
      </w:r>
      <w:bookmarkEnd w:id="27"/>
    </w:p>
    <w:tbl>
      <w:tblPr>
        <w:tblStyle w:val="116"/>
        <w:tblW w:w="5000" w:type="pct"/>
        <w:tblLook w:val="04A0" w:firstRow="1" w:lastRow="0" w:firstColumn="1" w:lastColumn="0" w:noHBand="0" w:noVBand="1"/>
      </w:tblPr>
      <w:tblGrid>
        <w:gridCol w:w="533"/>
        <w:gridCol w:w="4671"/>
        <w:gridCol w:w="1738"/>
        <w:gridCol w:w="1849"/>
        <w:gridCol w:w="1630"/>
      </w:tblGrid>
      <w:tr w:rsidR="00FA1F4E" w:rsidTr="00C874DA">
        <w:trPr>
          <w:trHeight w:val="351"/>
          <w:tblHeader/>
        </w:trPr>
        <w:tc>
          <w:tcPr>
            <w:tcW w:w="256"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w:t>
            </w:r>
          </w:p>
        </w:tc>
        <w:tc>
          <w:tcPr>
            <w:tcW w:w="2241"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Характеристика жилищного фонда</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Норматив потребления в месяц, м</w:t>
            </w:r>
            <w:r>
              <w:rPr>
                <w:rFonts w:eastAsia="Times New Roman" w:cs="Times New Roman"/>
                <w:sz w:val="22"/>
                <w:vertAlign w:val="superscript"/>
                <w:lang w:eastAsia="ru-RU"/>
              </w:rPr>
              <w:t>3</w:t>
            </w:r>
            <w:r>
              <w:rPr>
                <w:rFonts w:eastAsia="Times New Roman" w:cs="Times New Roman"/>
                <w:sz w:val="22"/>
                <w:lang w:eastAsia="ru-RU"/>
              </w:rPr>
              <w:t>/чел.</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Количество пользователей, чел.</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Потребление в год, тыс.м</w:t>
            </w:r>
            <w:r>
              <w:rPr>
                <w:rFonts w:eastAsia="Times New Roman" w:cs="Times New Roman"/>
                <w:sz w:val="22"/>
                <w:vertAlign w:val="superscript"/>
                <w:lang w:eastAsia="ru-RU"/>
              </w:rPr>
              <w:t>3</w:t>
            </w:r>
          </w:p>
        </w:tc>
      </w:tr>
      <w:tr w:rsidR="00FA1F4E" w:rsidTr="00FA1F4E">
        <w:trPr>
          <w:trHeight w:val="225"/>
        </w:trPr>
        <w:tc>
          <w:tcPr>
            <w:tcW w:w="256"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w:t>
            </w:r>
          </w:p>
        </w:tc>
        <w:tc>
          <w:tcPr>
            <w:tcW w:w="4744" w:type="pct"/>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С полным благоустройством (с ваннами) </w:t>
            </w:r>
          </w:p>
        </w:tc>
      </w:tr>
      <w:tr w:rsidR="00FA1F4E" w:rsidTr="00FA1F4E">
        <w:trPr>
          <w:trHeight w:val="270"/>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а)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2,74</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335</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11,0</w:t>
            </w:r>
          </w:p>
        </w:tc>
      </w:tr>
      <w:tr w:rsidR="00FA1F4E" w:rsidTr="00FA1F4E">
        <w:trPr>
          <w:trHeight w:val="99"/>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б) не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5,47</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13589</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892,0</w:t>
            </w:r>
          </w:p>
        </w:tc>
      </w:tr>
      <w:tr w:rsidR="00FA1F4E" w:rsidTr="00FA1F4E">
        <w:trPr>
          <w:trHeight w:val="352"/>
        </w:trPr>
        <w:tc>
          <w:tcPr>
            <w:tcW w:w="256"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w:t>
            </w:r>
          </w:p>
        </w:tc>
        <w:tc>
          <w:tcPr>
            <w:tcW w:w="4744" w:type="pct"/>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С полным благоустройством (с ваннами), с подогревом воды бойлерами</w:t>
            </w:r>
          </w:p>
        </w:tc>
      </w:tr>
      <w:tr w:rsidR="00FA1F4E" w:rsidTr="00FA1F4E">
        <w:trPr>
          <w:trHeight w:val="99"/>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а)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3,04</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814</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29,7</w:t>
            </w:r>
          </w:p>
        </w:tc>
      </w:tr>
      <w:tr w:rsidR="00FA1F4E" w:rsidTr="00FA1F4E">
        <w:trPr>
          <w:trHeight w:val="225"/>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б) не обеспеченными приборами учета в отопительный период (6 мес.)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6,08</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0,0</w:t>
            </w:r>
          </w:p>
        </w:tc>
      </w:tr>
      <w:tr w:rsidR="00FA1F4E" w:rsidTr="00FA1F4E">
        <w:trPr>
          <w:trHeight w:val="225"/>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б) не обеспеченными приборами учета не в отопительный период (6 мес.)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5,47</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0,0</w:t>
            </w:r>
          </w:p>
        </w:tc>
      </w:tr>
      <w:tr w:rsidR="00FA1F4E" w:rsidTr="00FA1F4E">
        <w:trPr>
          <w:trHeight w:val="99"/>
        </w:trPr>
        <w:tc>
          <w:tcPr>
            <w:tcW w:w="256"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w:t>
            </w:r>
          </w:p>
        </w:tc>
        <w:tc>
          <w:tcPr>
            <w:tcW w:w="4744" w:type="pct"/>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Без ванн </w:t>
            </w:r>
          </w:p>
        </w:tc>
      </w:tr>
      <w:tr w:rsidR="00FA1F4E" w:rsidTr="00FA1F4E">
        <w:trPr>
          <w:trHeight w:val="99"/>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а)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1,83</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111</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2,4</w:t>
            </w:r>
          </w:p>
        </w:tc>
      </w:tr>
      <w:tr w:rsidR="00FA1F4E" w:rsidTr="00FA1F4E">
        <w:trPr>
          <w:trHeight w:val="143"/>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б) не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3,65</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481</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21,1</w:t>
            </w:r>
          </w:p>
        </w:tc>
      </w:tr>
      <w:tr w:rsidR="00FA1F4E" w:rsidTr="00FA1F4E">
        <w:trPr>
          <w:trHeight w:val="99"/>
        </w:trPr>
        <w:tc>
          <w:tcPr>
            <w:tcW w:w="256"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4</w:t>
            </w:r>
          </w:p>
        </w:tc>
        <w:tc>
          <w:tcPr>
            <w:tcW w:w="4744" w:type="pct"/>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Водопровод без канализации</w:t>
            </w:r>
          </w:p>
        </w:tc>
      </w:tr>
      <w:tr w:rsidR="00FA1F4E" w:rsidTr="00FA1F4E">
        <w:trPr>
          <w:trHeight w:val="99"/>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а)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1,00</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0,0</w:t>
            </w:r>
          </w:p>
        </w:tc>
      </w:tr>
      <w:tr w:rsidR="00FA1F4E" w:rsidTr="00FA1F4E">
        <w:trPr>
          <w:trHeight w:val="99"/>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б) не обеспеченными приборами учета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1,80</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83</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1,8</w:t>
            </w:r>
          </w:p>
        </w:tc>
      </w:tr>
      <w:tr w:rsidR="00FA1F4E" w:rsidTr="00FA1F4E">
        <w:trPr>
          <w:trHeight w:val="99"/>
        </w:trPr>
        <w:tc>
          <w:tcPr>
            <w:tcW w:w="256"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5</w:t>
            </w:r>
          </w:p>
        </w:tc>
        <w:tc>
          <w:tcPr>
            <w:tcW w:w="4744" w:type="pct"/>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Колонки </w:t>
            </w:r>
          </w:p>
        </w:tc>
      </w:tr>
      <w:tr w:rsidR="00FA1F4E" w:rsidTr="00FA1F4E">
        <w:trPr>
          <w:trHeight w:val="99"/>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по нормативу </w:t>
            </w:r>
          </w:p>
        </w:tc>
        <w:tc>
          <w:tcPr>
            <w:tcW w:w="834"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1,30</w:t>
            </w: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911</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14,2</w:t>
            </w:r>
          </w:p>
        </w:tc>
      </w:tr>
      <w:tr w:rsidR="00FA1F4E" w:rsidTr="00FA1F4E">
        <w:trPr>
          <w:trHeight w:val="102"/>
        </w:trPr>
        <w:tc>
          <w:tcPr>
            <w:tcW w:w="256" w:type="pct"/>
          </w:tcPr>
          <w:p w:rsidR="00FA1F4E" w:rsidRDefault="00FA1F4E">
            <w:pPr>
              <w:autoSpaceDE w:val="0"/>
              <w:autoSpaceDN w:val="0"/>
              <w:adjustRightInd w:val="0"/>
              <w:ind w:firstLine="0"/>
              <w:jc w:val="center"/>
              <w:rPr>
                <w:rFonts w:eastAsia="Times New Roman" w:cs="Times New Roman"/>
                <w:sz w:val="22"/>
                <w:lang w:eastAsia="ru-RU"/>
              </w:rPr>
            </w:pPr>
          </w:p>
        </w:tc>
        <w:tc>
          <w:tcPr>
            <w:tcW w:w="2241" w:type="pct"/>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 xml:space="preserve">ИТОГО </w:t>
            </w:r>
          </w:p>
        </w:tc>
        <w:tc>
          <w:tcPr>
            <w:tcW w:w="834" w:type="pct"/>
          </w:tcPr>
          <w:p w:rsidR="00FA1F4E" w:rsidRDefault="00FA1F4E">
            <w:pPr>
              <w:autoSpaceDE w:val="0"/>
              <w:autoSpaceDN w:val="0"/>
              <w:adjustRightInd w:val="0"/>
              <w:ind w:firstLine="0"/>
              <w:jc w:val="center"/>
              <w:rPr>
                <w:rFonts w:eastAsia="Times New Roman" w:cs="Times New Roman"/>
                <w:sz w:val="22"/>
                <w:lang w:eastAsia="ru-RU"/>
              </w:rPr>
            </w:pPr>
          </w:p>
        </w:tc>
        <w:tc>
          <w:tcPr>
            <w:tcW w:w="887"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16327</w:t>
            </w:r>
          </w:p>
        </w:tc>
        <w:tc>
          <w:tcPr>
            <w:tcW w:w="782" w:type="pct"/>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972,2</w:t>
            </w:r>
          </w:p>
        </w:tc>
      </w:tr>
    </w:tbl>
    <w:p w:rsidR="00FA1F4E" w:rsidRDefault="00FA1F4E">
      <w:pPr>
        <w:ind w:firstLine="0"/>
      </w:pPr>
    </w:p>
    <w:p w:rsidR="00FA1F4E" w:rsidRDefault="003B2CFF">
      <w:r>
        <w:t>На следующих стадиях проектирования необходимо уточнение объемов водопотребления и параметров планируемых объектов.</w:t>
      </w:r>
    </w:p>
    <w:p w:rsidR="00FA1F4E" w:rsidRDefault="003B2CFF">
      <w:pPr>
        <w:ind w:right="-1"/>
      </w:pPr>
      <w:r>
        <w:t>Расходы воды на производственных и сельскохозяйственных предприятиях должны определяться на основании технологических данных на следующих стадиях проектирования.</w:t>
      </w:r>
    </w:p>
    <w:p w:rsidR="00FA1F4E" w:rsidRDefault="003B2CFF">
      <w:r>
        <w:t>В связи с отсутствием изменений в нормативах градостроительного проектирования уточнение параметров планируемых объектов в области водоснабжения населения не требуется.</w:t>
      </w:r>
    </w:p>
    <w:p w:rsidR="00FA1F4E" w:rsidRDefault="003B2CFF">
      <w:r>
        <w:t>При строительстве и реконструкции объектов местного значения в области водоснабжения необходимо учитывать следующие зоны с особыми условиями использования территорий:</w:t>
      </w:r>
    </w:p>
    <w:p w:rsidR="00FA1F4E" w:rsidRDefault="003B2CFF">
      <w:pPr>
        <w:pStyle w:val="afff3"/>
        <w:numPr>
          <w:ilvl w:val="0"/>
          <w:numId w:val="58"/>
        </w:numPr>
        <w:spacing w:before="0" w:after="0"/>
      </w:pPr>
      <w:r>
        <w:lastRenderedPageBreak/>
        <w:t>В соответствии с пунктом 4.7 СП 31.13330.2012 «Водоснабжение. Наружные сети и сооружения» в проектах хозяйственно-питьевых водопроводов необходимо предусматривать зоны санитарной охраны (ЗСО) источников водоснабжения, водопроводных сооружений, насосных станций и водоводов.</w:t>
      </w:r>
    </w:p>
    <w:p w:rsidR="00FA1F4E" w:rsidRDefault="003B2CFF">
      <w:pPr>
        <w:pStyle w:val="afff3"/>
        <w:numPr>
          <w:ilvl w:val="0"/>
          <w:numId w:val="58"/>
        </w:numPr>
        <w:spacing w:before="0" w:after="0"/>
      </w:pPr>
      <w:r>
        <w:t xml:space="preserve">В соответствии с СанПиН 2.1.4.1110-02 «Зоны санитарной охраны источников водоснабжения и водопроводов питьевого назначения» границы зон санитарной охраны для подземных источников водоснабжения устанавливаются на основании проекта, который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 Размеры зон санитарной охраны для подземных источников водоснабжения, для которых не разработаны проекты ЗСО составляют: </w:t>
      </w:r>
    </w:p>
    <w:p w:rsidR="00FA1F4E" w:rsidRDefault="003B2CFF">
      <w:pPr>
        <w:pStyle w:val="afff3"/>
        <w:numPr>
          <w:ilvl w:val="0"/>
          <w:numId w:val="59"/>
        </w:numPr>
        <w:spacing w:before="0" w:after="0"/>
      </w:pPr>
      <w:r>
        <w:t>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FA1F4E" w:rsidRDefault="003B2CFF">
      <w:pPr>
        <w:pStyle w:val="afff3"/>
        <w:numPr>
          <w:ilvl w:val="0"/>
          <w:numId w:val="59"/>
        </w:numPr>
        <w:spacing w:before="0" w:after="0"/>
      </w:pPr>
      <w: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FA1F4E" w:rsidRDefault="003B2CFF">
      <w:pPr>
        <w:pStyle w:val="afff3"/>
        <w:numPr>
          <w:ilvl w:val="0"/>
          <w:numId w:val="58"/>
        </w:numPr>
        <w:spacing w:before="0" w:after="0"/>
      </w:pPr>
      <w:r>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ЗСО водопроводных сооружений принимается на расстоянии:</w:t>
      </w:r>
    </w:p>
    <w:p w:rsidR="00FA1F4E" w:rsidRDefault="003B2CFF">
      <w:pPr>
        <w:pStyle w:val="afff3"/>
        <w:numPr>
          <w:ilvl w:val="0"/>
          <w:numId w:val="59"/>
        </w:numPr>
        <w:spacing w:before="0" w:after="0"/>
      </w:pPr>
      <w:r>
        <w:t>от стен запасных и регулирующих емкостей, фильтров и контактных осветлителей – не менее 30 метров;</w:t>
      </w:r>
    </w:p>
    <w:p w:rsidR="00FA1F4E" w:rsidRDefault="003B2CFF">
      <w:pPr>
        <w:pStyle w:val="afff3"/>
        <w:numPr>
          <w:ilvl w:val="0"/>
          <w:numId w:val="59"/>
        </w:numPr>
        <w:spacing w:before="0" w:after="0"/>
      </w:pPr>
      <w:r>
        <w:t>от водонапорных башен – не менее 10 метров;</w:t>
      </w:r>
    </w:p>
    <w:p w:rsidR="00FA1F4E" w:rsidRDefault="003B2CFF">
      <w:pPr>
        <w:pStyle w:val="afff3"/>
        <w:numPr>
          <w:ilvl w:val="0"/>
          <w:numId w:val="59"/>
        </w:numPr>
        <w:spacing w:before="0" w:after="0"/>
      </w:pPr>
      <w:r>
        <w:t>от остальных помещений (отстойники, реагентное хозяйство, склад хлора, насосные станции и др.) – не менее 15 метров.</w:t>
      </w:r>
    </w:p>
    <w:p w:rsidR="00FA1F4E" w:rsidRDefault="00FA1F4E"/>
    <w:p w:rsidR="00FA1F4E" w:rsidRDefault="003B2CFF">
      <w:pPr>
        <w:rPr>
          <w:b/>
        </w:rPr>
      </w:pPr>
      <w:r>
        <w:rPr>
          <w:b/>
        </w:rPr>
        <w:t>Объекты водоотведения</w:t>
      </w:r>
    </w:p>
    <w:p w:rsidR="00FA1F4E" w:rsidRDefault="003B2CFF">
      <w:r>
        <w:t>В соответствии со схемой водоснабжения и водоотведения МО «Лодейнопольское городское поселение» Ленинградской области на 2021 - 2035 годы в городе Лодейное Поле предусмотрены следующие мероприятия по развитию объектов местного значения в области водоотведения:</w:t>
      </w:r>
    </w:p>
    <w:p w:rsidR="00FA1F4E" w:rsidRDefault="003B2CFF">
      <w:pPr>
        <w:pStyle w:val="afff"/>
        <w:numPr>
          <w:ilvl w:val="0"/>
          <w:numId w:val="55"/>
        </w:numPr>
      </w:pPr>
      <w:r>
        <w:t>разработка проекта ливневой канализации в населенных пунктах МО «Лодейнопольское городское поселение» (2022 год);</w:t>
      </w:r>
    </w:p>
    <w:p w:rsidR="00FA1F4E" w:rsidRDefault="003B2CFF">
      <w:pPr>
        <w:pStyle w:val="afff"/>
        <w:numPr>
          <w:ilvl w:val="0"/>
          <w:numId w:val="55"/>
        </w:numPr>
      </w:pPr>
      <w:r>
        <w:t>установка локальных очистных сооружений на сбросе промывных вод в р. Свирь, производительностью не более 500 м</w:t>
      </w:r>
      <w:r>
        <w:rPr>
          <w:vertAlign w:val="superscript"/>
        </w:rPr>
        <w:t>3</w:t>
      </w:r>
      <w:r>
        <w:t xml:space="preserve"> /сут (2025 год);</w:t>
      </w:r>
    </w:p>
    <w:p w:rsidR="00FA1F4E" w:rsidRDefault="003B2CFF">
      <w:pPr>
        <w:pStyle w:val="afff"/>
        <w:numPr>
          <w:ilvl w:val="0"/>
          <w:numId w:val="55"/>
        </w:numPr>
      </w:pPr>
      <w:r>
        <w:t xml:space="preserve">строительство и реконструкция канализационных сетей бытовой канализации протяженностью 43 км, диаметром 200 </w:t>
      </w:r>
      <w:r>
        <w:rPr>
          <w:rFonts w:cs="Times New Roman"/>
          <w:sz w:val="22"/>
        </w:rPr>
        <w:t>–</w:t>
      </w:r>
      <w:r>
        <w:t xml:space="preserve"> 600 мм, в г. Лодейное Поле (2023 - 2035 год);</w:t>
      </w:r>
    </w:p>
    <w:p w:rsidR="00FA1F4E" w:rsidRDefault="003B2CFF">
      <w:pPr>
        <w:pStyle w:val="afff"/>
        <w:numPr>
          <w:ilvl w:val="0"/>
          <w:numId w:val="55"/>
        </w:numPr>
      </w:pPr>
      <w:r>
        <w:t>реконструкция очистных сооружений в г. Лодейное Поле (2022 год);</w:t>
      </w:r>
    </w:p>
    <w:p w:rsidR="00FA1F4E" w:rsidRDefault="003B2CFF">
      <w:pPr>
        <w:pStyle w:val="afff"/>
        <w:numPr>
          <w:ilvl w:val="0"/>
          <w:numId w:val="55"/>
        </w:numPr>
      </w:pPr>
      <w:r>
        <w:t xml:space="preserve">строительство канализационных сетей закрытой ливневой канализации протяженностью 20,0 км, диаметром 200 </w:t>
      </w:r>
      <w:r>
        <w:rPr>
          <w:rFonts w:cs="Times New Roman"/>
          <w:sz w:val="22"/>
        </w:rPr>
        <w:t>–</w:t>
      </w:r>
      <w:r>
        <w:t xml:space="preserve"> 300 мм, в г. Лодейное Поле (2023 – 2035 годы);</w:t>
      </w:r>
    </w:p>
    <w:p w:rsidR="00FA1F4E" w:rsidRDefault="003B2CFF">
      <w:pPr>
        <w:pStyle w:val="afff"/>
        <w:numPr>
          <w:ilvl w:val="0"/>
          <w:numId w:val="55"/>
        </w:numPr>
      </w:pPr>
      <w:r>
        <w:t xml:space="preserve">строительство колодцев на ливневой сети водоотведения в количестве 400 шт, диаметром 1000 </w:t>
      </w:r>
      <w:r>
        <w:rPr>
          <w:rFonts w:cs="Times New Roman"/>
          <w:sz w:val="22"/>
        </w:rPr>
        <w:t>–</w:t>
      </w:r>
      <w:r>
        <w:t xml:space="preserve"> 2000 мм, в г. Лодейное Поле (2023 – 2035 годы);</w:t>
      </w:r>
    </w:p>
    <w:p w:rsidR="00FA1F4E" w:rsidRDefault="003B2CFF">
      <w:pPr>
        <w:pStyle w:val="afff"/>
        <w:numPr>
          <w:ilvl w:val="0"/>
          <w:numId w:val="55"/>
        </w:numPr>
      </w:pPr>
      <w:r>
        <w:t>строительство локальных очистных сооружений ливневого стока в количестве 2 шт производительностью 100 л/с каждая, в г. Лодейное Поле (2023 – 2026 годы);</w:t>
      </w:r>
    </w:p>
    <w:p w:rsidR="00FA1F4E" w:rsidRDefault="003B2CFF">
      <w:pPr>
        <w:pStyle w:val="afff"/>
        <w:numPr>
          <w:ilvl w:val="0"/>
          <w:numId w:val="55"/>
        </w:numPr>
      </w:pPr>
      <w:r>
        <w:t>строительство канализационных насосных станций ливневых стоков в г. Лодейное Поле в количестве 4 шт. производительностью 50 л/с каждая (2023 – 2026 годы).</w:t>
      </w:r>
    </w:p>
    <w:p w:rsidR="00FA1F4E" w:rsidRDefault="003B2CFF">
      <w:r>
        <w:t>Перспективные варианты прохождения трубопроводов системы водоотведения следует принимать согласно проектам нового строительства.</w:t>
      </w:r>
    </w:p>
    <w:p w:rsidR="00FA1F4E" w:rsidRDefault="003B2CFF">
      <w:r>
        <w:lastRenderedPageBreak/>
        <w:t xml:space="preserve">Данные объекты полностью учтены действующим генеральным планом. </w:t>
      </w:r>
    </w:p>
    <w:p w:rsidR="00FA1F4E" w:rsidRDefault="003B2CFF">
      <w:r>
        <w:t>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мероприятия по строительству и реконструкции объектов местного значения поселения в области водоотведения уточнены с учетом перечня мероприятий по строительству, модернизации и (или) реконструкции объектов централизованных систем водоотведения, планируемых к включению в Инвестиционную программу Государственного унитарного предприятия «Водоканал Ленинградской области» по развитию систем водоснабжения и водоотведения Лодейнопольского района Ленинградской области на 2023 - 2033 годы (для реализации в границах территории, применительно к которой вносятся изменения в генеральный план):</w:t>
      </w:r>
    </w:p>
    <w:p w:rsidR="00FA1F4E" w:rsidRDefault="003B2CFF">
      <w:pPr>
        <w:pStyle w:val="afff"/>
        <w:numPr>
          <w:ilvl w:val="0"/>
          <w:numId w:val="60"/>
        </w:numPr>
      </w:pPr>
      <w:r>
        <w:t>реконструкция канализационных сетей г. Лодейное Поле, напорный коллектор от КНС 5 до колодца гасителя (г. Лодейное Поле, ул. Пограничная);</w:t>
      </w:r>
    </w:p>
    <w:p w:rsidR="00FA1F4E" w:rsidRDefault="003B2CFF">
      <w:pPr>
        <w:pStyle w:val="afff"/>
        <w:numPr>
          <w:ilvl w:val="0"/>
          <w:numId w:val="60"/>
        </w:numPr>
      </w:pPr>
      <w:r>
        <w:t>реконструкция канализационных сетей г. Лодейное Поле, самотечный коллектор по ул. Гагарина;</w:t>
      </w:r>
    </w:p>
    <w:p w:rsidR="00FA1F4E" w:rsidRDefault="003B2CFF">
      <w:pPr>
        <w:pStyle w:val="afff"/>
        <w:numPr>
          <w:ilvl w:val="0"/>
          <w:numId w:val="60"/>
        </w:numPr>
      </w:pPr>
      <w:r>
        <w:t>реконструкция канализационных сетей г. Лодейное Поле, напорный коллектор от ГНС до КОС;</w:t>
      </w:r>
    </w:p>
    <w:p w:rsidR="00FA1F4E" w:rsidRDefault="003B2CFF">
      <w:pPr>
        <w:pStyle w:val="afff"/>
        <w:numPr>
          <w:ilvl w:val="0"/>
          <w:numId w:val="60"/>
        </w:numPr>
      </w:pPr>
      <w:r>
        <w:t>реконструкция напорного коллектора от КНС № 2 по ул. Пограничная до колодца гасителя на ул. Титова г. Лодейное Поле;</w:t>
      </w:r>
    </w:p>
    <w:p w:rsidR="00FA1F4E" w:rsidRDefault="003B2CFF">
      <w:pPr>
        <w:pStyle w:val="afff"/>
        <w:numPr>
          <w:ilvl w:val="0"/>
          <w:numId w:val="60"/>
        </w:numPr>
      </w:pPr>
      <w:r>
        <w:t>реконструкция КОС в г. Лодейное Поле, в том числе блок емкостей, система лотков, система аэрации, иловые карты (8 шт.), трубопроводы (Лодейнопольский муниципальный район, 221 км Ленинградского шоссе);</w:t>
      </w:r>
    </w:p>
    <w:p w:rsidR="00FA1F4E" w:rsidRDefault="003B2CFF">
      <w:pPr>
        <w:pStyle w:val="afff"/>
        <w:numPr>
          <w:ilvl w:val="0"/>
          <w:numId w:val="60"/>
        </w:numPr>
      </w:pPr>
      <w:r>
        <w:t>реконструкция КНС № 4, в г. Лодейное Поле, с заменой технологического и электрооборудования;</w:t>
      </w:r>
    </w:p>
    <w:p w:rsidR="00FA1F4E" w:rsidRDefault="003B2CFF">
      <w:pPr>
        <w:pStyle w:val="afff"/>
        <w:numPr>
          <w:ilvl w:val="0"/>
          <w:numId w:val="60"/>
        </w:numPr>
      </w:pPr>
      <w:r>
        <w:t>реконструкция ГНС в г. Лодейное Поле, с заменой технологического и электрооборудования (г. Лодейное Поле, пер. Почтовый, 12а);</w:t>
      </w:r>
    </w:p>
    <w:p w:rsidR="00FA1F4E" w:rsidRDefault="003B2CFF">
      <w:pPr>
        <w:pStyle w:val="afff"/>
        <w:numPr>
          <w:ilvl w:val="0"/>
          <w:numId w:val="60"/>
        </w:numPr>
      </w:pPr>
      <w:r>
        <w:t>строительство новых канализационных сетей</w:t>
      </w:r>
      <w:r>
        <w:rPr>
          <w:rStyle w:val="af8"/>
        </w:rPr>
        <w:footnoteReference w:id="8"/>
      </w:r>
      <w:r>
        <w:t>, диаметром 160 мм, протяженностью 4000 м (г. Лодейное Поле).</w:t>
      </w:r>
    </w:p>
    <w:p w:rsidR="00FA1F4E" w:rsidRDefault="00FA1F4E"/>
    <w:p w:rsidR="00FA1F4E" w:rsidRDefault="003B2CFF">
      <w:pPr>
        <w:rPr>
          <w:b/>
        </w:rPr>
      </w:pPr>
      <w:r>
        <w:rPr>
          <w:b/>
        </w:rPr>
        <w:t xml:space="preserve">Оценка планируемых объемов водоотведения </w:t>
      </w:r>
    </w:p>
    <w:p w:rsidR="00FA1F4E" w:rsidRDefault="003B2CFF">
      <w:r>
        <w:t>Оценка планируемых объемов водоотведения представлена в таблице 12.</w:t>
      </w:r>
    </w:p>
    <w:p w:rsidR="00FA1F4E" w:rsidRDefault="00FA1F4E"/>
    <w:p w:rsidR="00FA1F4E" w:rsidRDefault="003B2CFF">
      <w:pPr>
        <w:ind w:firstLine="0"/>
        <w:jc w:val="center"/>
        <w:rPr>
          <w:rFonts w:cs="Times New Roman"/>
          <w:szCs w:val="24"/>
        </w:rPr>
      </w:pPr>
      <w:r>
        <w:rPr>
          <w:rFonts w:cs="Times New Roman"/>
          <w:szCs w:val="24"/>
        </w:rPr>
        <w:t>Таблица 12. Прогноз спроса на коммунальные ресурсы по водоотведению жилого фонда г. Лодейное Поле на расчетный срок</w:t>
      </w:r>
    </w:p>
    <w:tbl>
      <w:tblPr>
        <w:tblStyle w:val="116"/>
        <w:tblW w:w="5000" w:type="pct"/>
        <w:tblLayout w:type="fixed"/>
        <w:tblLook w:val="04A0" w:firstRow="1" w:lastRow="0" w:firstColumn="1" w:lastColumn="0" w:noHBand="0" w:noVBand="1"/>
      </w:tblPr>
      <w:tblGrid>
        <w:gridCol w:w="534"/>
        <w:gridCol w:w="4110"/>
        <w:gridCol w:w="1985"/>
        <w:gridCol w:w="1984"/>
        <w:gridCol w:w="1808"/>
      </w:tblGrid>
      <w:tr w:rsidR="00FA1F4E" w:rsidTr="00C874DA">
        <w:trPr>
          <w:trHeight w:val="351"/>
          <w:tblHeader/>
        </w:trPr>
        <w:tc>
          <w:tcPr>
            <w:tcW w:w="53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w:t>
            </w:r>
          </w:p>
        </w:tc>
        <w:tc>
          <w:tcPr>
            <w:tcW w:w="4110"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Характеристика жилищного фонда</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Норматив потребления в месяц, м</w:t>
            </w:r>
            <w:r>
              <w:rPr>
                <w:rFonts w:eastAsia="Times New Roman" w:cs="Times New Roman"/>
                <w:sz w:val="22"/>
                <w:vertAlign w:val="superscript"/>
                <w:lang w:eastAsia="ru-RU"/>
              </w:rPr>
              <w:t>3</w:t>
            </w:r>
            <w:r>
              <w:rPr>
                <w:rFonts w:eastAsia="Times New Roman" w:cs="Times New Roman"/>
                <w:sz w:val="22"/>
                <w:lang w:eastAsia="ru-RU"/>
              </w:rPr>
              <w:t xml:space="preserve">/чел. </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Количество пользователей, чел.</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Потребление в год, тыс. м</w:t>
            </w:r>
            <w:r>
              <w:rPr>
                <w:rFonts w:eastAsia="Times New Roman" w:cs="Times New Roman"/>
                <w:sz w:val="22"/>
                <w:vertAlign w:val="superscript"/>
                <w:lang w:eastAsia="ru-RU"/>
              </w:rPr>
              <w:t>3</w:t>
            </w:r>
          </w:p>
        </w:tc>
      </w:tr>
      <w:tr w:rsidR="00FA1F4E" w:rsidTr="00FA1F4E">
        <w:trPr>
          <w:trHeight w:val="226"/>
        </w:trPr>
        <w:tc>
          <w:tcPr>
            <w:tcW w:w="53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w:t>
            </w:r>
          </w:p>
        </w:tc>
        <w:tc>
          <w:tcPr>
            <w:tcW w:w="6095" w:type="dxa"/>
            <w:gridSpan w:val="2"/>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С полным благоустройством (с ваннами)</w:t>
            </w:r>
          </w:p>
        </w:tc>
        <w:tc>
          <w:tcPr>
            <w:tcW w:w="3792" w:type="dxa"/>
            <w:gridSpan w:val="2"/>
          </w:tcPr>
          <w:p w:rsidR="00FA1F4E" w:rsidRDefault="00FA1F4E">
            <w:pPr>
              <w:autoSpaceDE w:val="0"/>
              <w:autoSpaceDN w:val="0"/>
              <w:adjustRightInd w:val="0"/>
              <w:ind w:firstLine="0"/>
              <w:jc w:val="center"/>
              <w:rPr>
                <w:rFonts w:eastAsia="Times New Roman" w:cs="Times New Roman"/>
                <w:sz w:val="22"/>
                <w:lang w:eastAsia="ru-RU"/>
              </w:rPr>
            </w:pPr>
          </w:p>
        </w:tc>
      </w:tr>
      <w:tr w:rsidR="00FA1F4E" w:rsidTr="00FA1F4E">
        <w:trPr>
          <w:trHeight w:val="271"/>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а) обеспеченными приборами учета</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2,74</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335</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11,0</w:t>
            </w:r>
          </w:p>
        </w:tc>
      </w:tr>
      <w:tr w:rsidR="00FA1F4E" w:rsidTr="00FA1F4E">
        <w:trPr>
          <w:trHeight w:val="99"/>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б) не обеспеченными приборами учета</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5,47</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13589</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892,0</w:t>
            </w:r>
          </w:p>
        </w:tc>
      </w:tr>
      <w:tr w:rsidR="00FA1F4E" w:rsidTr="00FA1F4E">
        <w:trPr>
          <w:trHeight w:val="226"/>
        </w:trPr>
        <w:tc>
          <w:tcPr>
            <w:tcW w:w="53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w:t>
            </w:r>
          </w:p>
        </w:tc>
        <w:tc>
          <w:tcPr>
            <w:tcW w:w="9887" w:type="dxa"/>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С полным благоустройством (с ваннами), с подогревом воды бойлерами</w:t>
            </w:r>
          </w:p>
        </w:tc>
      </w:tr>
      <w:tr w:rsidR="00FA1F4E" w:rsidTr="00FA1F4E">
        <w:trPr>
          <w:trHeight w:val="99"/>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а) обеспеченными приборами учета</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3,04</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814</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29,7</w:t>
            </w:r>
          </w:p>
        </w:tc>
      </w:tr>
      <w:tr w:rsidR="00FA1F4E" w:rsidTr="00FA1F4E">
        <w:trPr>
          <w:trHeight w:val="225"/>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б) не обеспеченными приборами учета в отопительный период (6 мес.)</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6,08</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0,0</w:t>
            </w:r>
          </w:p>
        </w:tc>
      </w:tr>
      <w:tr w:rsidR="00FA1F4E" w:rsidTr="00FA1F4E">
        <w:trPr>
          <w:trHeight w:val="225"/>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б) не обеспеченными приборами учета не в отопительный период (6 мес.)</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5,47</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0,0</w:t>
            </w:r>
          </w:p>
        </w:tc>
      </w:tr>
      <w:tr w:rsidR="00FA1F4E" w:rsidTr="00FA1F4E">
        <w:trPr>
          <w:trHeight w:val="99"/>
        </w:trPr>
        <w:tc>
          <w:tcPr>
            <w:tcW w:w="53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w:t>
            </w:r>
          </w:p>
        </w:tc>
        <w:tc>
          <w:tcPr>
            <w:tcW w:w="9887" w:type="dxa"/>
            <w:gridSpan w:val="4"/>
          </w:tcPr>
          <w:p w:rsidR="00FA1F4E" w:rsidRDefault="003B2CFF">
            <w:pPr>
              <w:autoSpaceDE w:val="0"/>
              <w:autoSpaceDN w:val="0"/>
              <w:adjustRightInd w:val="0"/>
              <w:ind w:firstLine="0"/>
              <w:rPr>
                <w:rFonts w:eastAsia="Times New Roman" w:cs="Times New Roman"/>
                <w:sz w:val="22"/>
                <w:lang w:eastAsia="ru-RU"/>
              </w:rPr>
            </w:pPr>
            <w:r>
              <w:rPr>
                <w:rFonts w:eastAsia="Times New Roman" w:cs="Times New Roman"/>
                <w:sz w:val="22"/>
                <w:lang w:eastAsia="ru-RU"/>
              </w:rPr>
              <w:t>Без ванн</w:t>
            </w:r>
          </w:p>
        </w:tc>
      </w:tr>
      <w:tr w:rsidR="00FA1F4E" w:rsidTr="00FA1F4E">
        <w:trPr>
          <w:trHeight w:val="99"/>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а) обеспеченными приборами учета</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1,83</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111</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2,4</w:t>
            </w:r>
          </w:p>
        </w:tc>
      </w:tr>
      <w:tr w:rsidR="00FA1F4E" w:rsidTr="00FA1F4E">
        <w:trPr>
          <w:trHeight w:val="99"/>
        </w:trPr>
        <w:tc>
          <w:tcPr>
            <w:tcW w:w="534" w:type="dxa"/>
          </w:tcPr>
          <w:p w:rsidR="00FA1F4E" w:rsidRDefault="00FA1F4E">
            <w:pPr>
              <w:autoSpaceDE w:val="0"/>
              <w:autoSpaceDN w:val="0"/>
              <w:adjustRightInd w:val="0"/>
              <w:ind w:firstLine="0"/>
              <w:jc w:val="center"/>
              <w:rPr>
                <w:rFonts w:eastAsia="Times New Roman" w:cs="Times New Roman"/>
                <w:sz w:val="22"/>
                <w:lang w:eastAsia="ru-RU"/>
              </w:rPr>
            </w:pPr>
          </w:p>
        </w:tc>
        <w:tc>
          <w:tcPr>
            <w:tcW w:w="4110" w:type="dxa"/>
          </w:tcPr>
          <w:p w:rsidR="00FA1F4E" w:rsidRDefault="003B2CFF">
            <w:pPr>
              <w:autoSpaceDE w:val="0"/>
              <w:autoSpaceDN w:val="0"/>
              <w:adjustRightInd w:val="0"/>
              <w:ind w:firstLine="0"/>
              <w:jc w:val="left"/>
              <w:rPr>
                <w:rFonts w:eastAsia="Times New Roman" w:cs="Times New Roman"/>
                <w:sz w:val="22"/>
                <w:lang w:eastAsia="ru-RU"/>
              </w:rPr>
            </w:pPr>
            <w:r>
              <w:rPr>
                <w:rFonts w:eastAsia="Times New Roman" w:cs="Times New Roman"/>
                <w:sz w:val="22"/>
                <w:lang w:eastAsia="ru-RU"/>
              </w:rPr>
              <w:t>б) не обеспеченными приборами учета</w:t>
            </w:r>
          </w:p>
        </w:tc>
        <w:tc>
          <w:tcPr>
            <w:tcW w:w="1985"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3,65</w:t>
            </w: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481</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21,1</w:t>
            </w:r>
          </w:p>
        </w:tc>
      </w:tr>
      <w:tr w:rsidR="00FA1F4E" w:rsidTr="00FA1F4E">
        <w:trPr>
          <w:trHeight w:val="102"/>
        </w:trPr>
        <w:tc>
          <w:tcPr>
            <w:tcW w:w="4644" w:type="dxa"/>
            <w:gridSpan w:val="2"/>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ИТОГО</w:t>
            </w:r>
          </w:p>
        </w:tc>
        <w:tc>
          <w:tcPr>
            <w:tcW w:w="1985" w:type="dxa"/>
          </w:tcPr>
          <w:p w:rsidR="00FA1F4E" w:rsidRDefault="00FA1F4E">
            <w:pPr>
              <w:autoSpaceDE w:val="0"/>
              <w:autoSpaceDN w:val="0"/>
              <w:adjustRightInd w:val="0"/>
              <w:ind w:firstLine="0"/>
              <w:jc w:val="center"/>
              <w:rPr>
                <w:rFonts w:eastAsia="Times New Roman" w:cs="Times New Roman"/>
                <w:sz w:val="22"/>
                <w:lang w:eastAsia="ru-RU"/>
              </w:rPr>
            </w:pPr>
          </w:p>
        </w:tc>
        <w:tc>
          <w:tcPr>
            <w:tcW w:w="1984"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15330</w:t>
            </w:r>
          </w:p>
        </w:tc>
        <w:tc>
          <w:tcPr>
            <w:tcW w:w="1808" w:type="dxa"/>
          </w:tcPr>
          <w:p w:rsidR="00FA1F4E" w:rsidRDefault="003B2CFF">
            <w:pPr>
              <w:autoSpaceDE w:val="0"/>
              <w:autoSpaceDN w:val="0"/>
              <w:adjustRightInd w:val="0"/>
              <w:ind w:firstLine="0"/>
              <w:jc w:val="center"/>
              <w:rPr>
                <w:rFonts w:eastAsia="Times New Roman" w:cs="Times New Roman"/>
                <w:sz w:val="22"/>
                <w:lang w:eastAsia="ru-RU"/>
              </w:rPr>
            </w:pPr>
            <w:r>
              <w:rPr>
                <w:rFonts w:eastAsia="Times New Roman" w:cs="Times New Roman"/>
                <w:sz w:val="22"/>
                <w:lang w:eastAsia="ru-RU"/>
              </w:rPr>
              <w:t>956,2</w:t>
            </w:r>
          </w:p>
        </w:tc>
      </w:tr>
    </w:tbl>
    <w:p w:rsidR="00FA1F4E" w:rsidRDefault="00FA1F4E"/>
    <w:p w:rsidR="00FA1F4E" w:rsidRDefault="003B2CFF">
      <w:r>
        <w:lastRenderedPageBreak/>
        <w:t xml:space="preserve">В связи с отсутствием предложений по дополнительному подключению существующих и планируемых объектов к системе централизованного водоотведения, изменения в части параметров планируемых объектов местного значения в области водоотведения не вносятся. </w:t>
      </w:r>
    </w:p>
    <w:p w:rsidR="00FA1F4E" w:rsidRDefault="003B2CFF">
      <w:r>
        <w:t>В связи с отсутствием изменений нормативов градостроительного проектирования уточнение параметров планируемых объектов в области водоотведения не требуется.</w:t>
      </w:r>
    </w:p>
    <w:p w:rsidR="00FA1F4E" w:rsidRDefault="003B2CFF">
      <w:r>
        <w:t>При строительстве и реконструкции объектов местного значения в области водоотведения необходимо учитывать следующие зоны с особыми условиями использования территорий:</w:t>
      </w:r>
    </w:p>
    <w:p w:rsidR="00FA1F4E" w:rsidRDefault="003B2CFF">
      <w:pPr>
        <w:pStyle w:val="afff"/>
        <w:widowControl w:val="0"/>
        <w:numPr>
          <w:ilvl w:val="0"/>
          <w:numId w:val="61"/>
        </w:numPr>
      </w:pPr>
      <w:r>
        <w:t>в соответствии с пунктом 4.20 СП 32.13330.2018 «Канализация. Наружные сети и сооружения» 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действующими санитарными правилами и нормами, а случаи отступления от них должны согласовываться с органами санитарно-эпидемиологического надзора.</w:t>
      </w:r>
    </w:p>
    <w:p w:rsidR="00FA1F4E" w:rsidRDefault="00FA1F4E"/>
    <w:p w:rsidR="00FA1F4E" w:rsidRDefault="003B2CFF">
      <w:pPr>
        <w:keepNext/>
        <w:ind w:right="567"/>
        <w:rPr>
          <w:b/>
          <w:bCs/>
        </w:rPr>
      </w:pPr>
      <w:r>
        <w:rPr>
          <w:b/>
          <w:bCs/>
        </w:rPr>
        <w:t>Дождевая канализация</w:t>
      </w:r>
    </w:p>
    <w:p w:rsidR="00FA1F4E" w:rsidRDefault="003B2CFF">
      <w:r>
        <w:rPr>
          <w:rFonts w:cs="Times New Roman"/>
          <w:szCs w:val="24"/>
          <w:lang w:eastAsia="ru-RU"/>
        </w:rPr>
        <w:t xml:space="preserve">Действующим генеральным планом предусмотрена </w:t>
      </w:r>
      <w:r>
        <w:t>организация системы водоотведения поверхностного стока с направлением стоков на площадки очистных сооружений дождевой канализации города Лодейное Поле (</w:t>
      </w:r>
      <w:r>
        <w:rPr>
          <w:rFonts w:cs="Times New Roman"/>
          <w:szCs w:val="24"/>
          <w:lang w:eastAsia="ru-RU"/>
        </w:rPr>
        <w:t>строительство закрытой системы ливневой канализации со сбросом через очистные сооружения в р. Свирь</w:t>
      </w:r>
      <w:r>
        <w:t xml:space="preserve">). </w:t>
      </w:r>
      <w:r>
        <w:rPr>
          <w:rFonts w:cs="Times New Roman"/>
          <w:szCs w:val="24"/>
          <w:lang w:eastAsia="ru-RU"/>
        </w:rPr>
        <w:t>В настоящее время очистка ливневых сточных вод, поступающих в р. Свирь, не производится.</w:t>
      </w:r>
    </w:p>
    <w:p w:rsidR="00FA1F4E" w:rsidRDefault="003B2CFF">
      <w:r>
        <w:t xml:space="preserve">Поверхностные сточные воды с территории планируется собирать сетью ливневой канализации и направлять на площадку очистных сооружений. Для распределения и направления дождевого стока на очистные сооружения должны предусматриваться распределительные камеры на устьевых участках водостоков. На очистные сооружения направляется первая, наиболее загрязненная часть стоков, образующаяся в начальный период дождя (продолжительность дождя – первые 20 мин) или таяния снега. </w:t>
      </w:r>
    </w:p>
    <w:p w:rsidR="00FA1F4E" w:rsidRDefault="003B2CFF">
      <w:r>
        <w:t>Очистке должно подвергаться не менее 70 % поверхностного стока. Пиковые расходы, относящиеся к наиболее интенсивной части дождя и наибольшему стоку талых вод, через распределительные камеры сбрасываются в водоприемник без очистки.</w:t>
      </w:r>
    </w:p>
    <w:p w:rsidR="00FA1F4E" w:rsidRDefault="003B2CFF">
      <w:r>
        <w:t>На отдельных участках должны предусматриваться нагорные канавы для перехвата талых вод и предотвращения затопления расположенной ниже по рельефу застройки.</w:t>
      </w:r>
    </w:p>
    <w:p w:rsidR="00FA1F4E" w:rsidRDefault="003B2CFF">
      <w:pPr>
        <w:autoSpaceDE w:val="0"/>
      </w:pPr>
      <w:r>
        <w:t xml:space="preserve">Поверхностный сток с промышленно-коммунальных территорий перед выпуском в дождевую канализацию (по согласованию с органами Роспотребнадзора) должен проходить предварительную очистку на собственных очистных сооружениях промышленно-дождевых стоков с целью обезвреживания специфических загрязнений. </w:t>
      </w:r>
    </w:p>
    <w:p w:rsidR="00FA1F4E" w:rsidRDefault="003B2CFF">
      <w:r>
        <w:t>Предлагаются очистные сооружения модульного типа. На очистных сооружениях предусматривается механическая очистка стоков от плавающего мусора, взвешенных веществ, нефтепродуктов. В состав очистных сооружений входят отстойники твердого стока, нефтеловушки. Санитарно-защитная зона от очистных сооружений поверхностных вод закрытого типа – 50 м.</w:t>
      </w:r>
    </w:p>
    <w:p w:rsidR="00FA1F4E" w:rsidRDefault="003B2CFF">
      <w:r>
        <w:rPr>
          <w:lang w:bidi="en-US"/>
        </w:rPr>
        <w:t>Необходимо выполнить проект планировки территории с проектированием сети закрытой дождевой канализации с учетом требований действующих нормативных документов</w:t>
      </w:r>
      <w:r>
        <w:t xml:space="preserve"> и расчетом ливневых стоков с кровли и с территории.</w:t>
      </w:r>
    </w:p>
    <w:p w:rsidR="00FA1F4E" w:rsidRDefault="003B2CFF">
      <w:r>
        <w:t>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w:t>
      </w:r>
      <w:r>
        <w:rPr>
          <w:lang w:bidi="en-US"/>
        </w:rPr>
        <w:t>,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и внутриквартальных площадей.</w:t>
      </w:r>
      <w:r>
        <w:t xml:space="preserve"> </w:t>
      </w:r>
    </w:p>
    <w:p w:rsidR="00FA1F4E" w:rsidRDefault="003B2CFF">
      <w:r>
        <w:lastRenderedPageBreak/>
        <w:t>На территориях существующей и планируемой индивидуальной жилой застройки целесообразно организовывать систему открытой дождевой канализации – с использованием открытых водоотводящих устройств (канав, кюветов, лотков).</w:t>
      </w:r>
    </w:p>
    <w:p w:rsidR="00FA1F4E" w:rsidRDefault="00FA1F4E">
      <w:pPr>
        <w:rPr>
          <w:b/>
        </w:rPr>
      </w:pPr>
    </w:p>
    <w:p w:rsidR="00FA1F4E" w:rsidRDefault="003B2CFF">
      <w:pPr>
        <w:rPr>
          <w:b/>
        </w:rPr>
      </w:pPr>
      <w:r>
        <w:rPr>
          <w:b/>
        </w:rPr>
        <w:t>Объекты газоснабжения</w:t>
      </w:r>
    </w:p>
    <w:p w:rsidR="00FA1F4E" w:rsidRDefault="003B2CFF">
      <w:r>
        <w:t>Схема газоснабжения муниципального образования Лодейнопольское городское поселение Лодейнопольского муниципального района Ленинградской области на период до 2030 года утверждена постановлением администрации Лодейнопольского муниципального района Ленинградской области 17 декабря 2020 года № 1191.</w:t>
      </w:r>
    </w:p>
    <w:p w:rsidR="00FA1F4E" w:rsidRDefault="003B2CFF">
      <w:r>
        <w:t>В соответствии с действующим генеральным планом предусмотрены следующие планируемые объекты в области газоснабжения:</w:t>
      </w:r>
    </w:p>
    <w:p w:rsidR="00FA1F4E" w:rsidRDefault="003B2CFF">
      <w:pPr>
        <w:pStyle w:val="afff"/>
        <w:numPr>
          <w:ilvl w:val="0"/>
          <w:numId w:val="62"/>
        </w:numPr>
        <w:ind w:left="714" w:hanging="357"/>
        <w:rPr>
          <w:bCs/>
        </w:rPr>
      </w:pPr>
      <w:r>
        <w:t xml:space="preserve">газопровод распределительный пер. Паромный, пер. Почтовый, пр. Ленина и Ленинградское шоссе в г. Лодейное Поле, </w:t>
      </w:r>
      <w:r>
        <w:rPr>
          <w:rFonts w:eastAsia="Calibri"/>
        </w:rPr>
        <w:t>протяженность: 1557,5 м;</w:t>
      </w:r>
    </w:p>
    <w:p w:rsidR="00FA1F4E" w:rsidRDefault="003B2CFF">
      <w:pPr>
        <w:pStyle w:val="afff"/>
        <w:numPr>
          <w:ilvl w:val="0"/>
          <w:numId w:val="62"/>
        </w:numPr>
        <w:ind w:left="714" w:hanging="357"/>
        <w:rPr>
          <w:bCs/>
        </w:rPr>
      </w:pPr>
      <w:r>
        <w:t>газопровод распределительный ул. Комсомоль</w:t>
      </w:r>
      <w:r>
        <w:softHyphen/>
        <w:t>ская, ул. Северная, ул. Пионерская, ул. Розы Люксем</w:t>
      </w:r>
      <w:r>
        <w:softHyphen/>
        <w:t>бург, ул. Железнодорожная, ул. Мошкина, пер. Онеж</w:t>
      </w:r>
      <w:r>
        <w:softHyphen/>
        <w:t xml:space="preserve">ский, пер. Сельский, пер. Озерный в г. Лодейное Поле, </w:t>
      </w:r>
      <w:r>
        <w:rPr>
          <w:rFonts w:eastAsia="Calibri"/>
        </w:rPr>
        <w:t>протяженность: 4139 м;</w:t>
      </w:r>
    </w:p>
    <w:p w:rsidR="00FA1F4E" w:rsidRDefault="003B2CFF">
      <w:pPr>
        <w:pStyle w:val="afff"/>
        <w:numPr>
          <w:ilvl w:val="0"/>
          <w:numId w:val="62"/>
        </w:numPr>
        <w:ind w:left="714" w:hanging="357"/>
        <w:rPr>
          <w:bCs/>
        </w:rPr>
      </w:pPr>
      <w:r>
        <w:t xml:space="preserve">газопровод распределительный Ленинградское шоссе (от пер. Дружбы до р. Каномка) в г. Лодейное Поле, </w:t>
      </w:r>
      <w:r>
        <w:rPr>
          <w:rFonts w:eastAsia="Calibri"/>
        </w:rPr>
        <w:t>протяженность: 1000 м.</w:t>
      </w:r>
    </w:p>
    <w:p w:rsidR="00FA1F4E" w:rsidRDefault="003B2CFF">
      <w:r>
        <w:t>В настоящее время объект «Распределительный газопровод по Ленинградскому ш., ул. Ленина, пер. Паромный, Почтовый г. Лодейное Поле» построен и зарегистрирован (собственность Лодейнопольского городского поселения).</w:t>
      </w:r>
    </w:p>
    <w:p w:rsidR="00FA1F4E" w:rsidRDefault="003B2CFF">
      <w:r>
        <w:t>В настоящее время завершены проектирование и экспертиза на планируемый объект местного значения поселения «Распределительный газопровод по ул. Комсомольская, ул. Северная, ул. Пионерская, ул. Розы Люксембург, ул. Железнодорожная, ул. Мошкина, пер. Онежский, пер. Сельский, пер. Озерный в г. Лодейное Поле, Ленинградская область», протяженность 3849,6 м, планируемый период строительства – до 2025 года.</w:t>
      </w:r>
    </w:p>
    <w:p w:rsidR="00FA1F4E" w:rsidRDefault="003B2CFF">
      <w:r>
        <w:t>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сведения о планируемых объектах в области газоснабжения актуализированы в соответствии со схемой газоснабжения муниципального образования Лодейнопольское городское поселение Лодейнопольского муниципального района Ленинградской области на период до 2030 года (таблица 13).</w:t>
      </w:r>
    </w:p>
    <w:p w:rsidR="00FA1F4E" w:rsidRDefault="00FA1F4E"/>
    <w:p w:rsidR="00FA1F4E" w:rsidRDefault="003B2CFF">
      <w:pPr>
        <w:ind w:firstLine="0"/>
        <w:jc w:val="center"/>
      </w:pPr>
      <w:r>
        <w:t>Таблица 13. Сведения о планируемых объектах в области газоснабжения для обеспечения возможности присоединения к газовым сетям потребителей в соответствии со схемой газоснабжения муниципального образования Лодейнопольское городское поселение Лодейнопольского муниципального района Ленинградской области на период до 2030 года</w:t>
      </w:r>
    </w:p>
    <w:tbl>
      <w:tblPr>
        <w:tblStyle w:val="affc"/>
        <w:tblW w:w="0" w:type="auto"/>
        <w:tblLook w:val="04A0" w:firstRow="1" w:lastRow="0" w:firstColumn="1" w:lastColumn="0" w:noHBand="0" w:noVBand="1"/>
      </w:tblPr>
      <w:tblGrid>
        <w:gridCol w:w="436"/>
        <w:gridCol w:w="4793"/>
        <w:gridCol w:w="2596"/>
        <w:gridCol w:w="2596"/>
      </w:tblGrid>
      <w:tr w:rsidR="00FA1F4E">
        <w:trPr>
          <w:tblHeader/>
        </w:trPr>
        <w:tc>
          <w:tcPr>
            <w:tcW w:w="427" w:type="dxa"/>
            <w:vAlign w:val="center"/>
          </w:tcPr>
          <w:p w:rsidR="00FA1F4E" w:rsidRDefault="003B2CFF">
            <w:pPr>
              <w:ind w:firstLine="0"/>
              <w:jc w:val="center"/>
              <w:rPr>
                <w:sz w:val="22"/>
              </w:rPr>
            </w:pPr>
            <w:r>
              <w:rPr>
                <w:sz w:val="22"/>
              </w:rPr>
              <w:t>№</w:t>
            </w:r>
          </w:p>
        </w:tc>
        <w:tc>
          <w:tcPr>
            <w:tcW w:w="4798" w:type="dxa"/>
            <w:vAlign w:val="center"/>
          </w:tcPr>
          <w:p w:rsidR="00FA1F4E" w:rsidRDefault="003B2CFF">
            <w:pPr>
              <w:ind w:firstLine="0"/>
              <w:jc w:val="center"/>
              <w:rPr>
                <w:sz w:val="22"/>
              </w:rPr>
            </w:pPr>
            <w:r>
              <w:rPr>
                <w:sz w:val="22"/>
              </w:rPr>
              <w:t>Наименование объекта</w:t>
            </w:r>
          </w:p>
        </w:tc>
        <w:tc>
          <w:tcPr>
            <w:tcW w:w="2598" w:type="dxa"/>
            <w:vAlign w:val="center"/>
          </w:tcPr>
          <w:p w:rsidR="00FA1F4E" w:rsidRDefault="003B2CFF">
            <w:pPr>
              <w:ind w:firstLine="0"/>
              <w:jc w:val="center"/>
              <w:rPr>
                <w:sz w:val="22"/>
              </w:rPr>
            </w:pPr>
            <w:r>
              <w:rPr>
                <w:sz w:val="22"/>
              </w:rPr>
              <w:t>Параметры</w:t>
            </w:r>
          </w:p>
        </w:tc>
        <w:tc>
          <w:tcPr>
            <w:tcW w:w="2598" w:type="dxa"/>
            <w:vAlign w:val="center"/>
          </w:tcPr>
          <w:p w:rsidR="00FA1F4E" w:rsidRDefault="003B2CFF">
            <w:pPr>
              <w:ind w:firstLine="0"/>
              <w:jc w:val="center"/>
              <w:rPr>
                <w:sz w:val="22"/>
              </w:rPr>
            </w:pPr>
            <w:r>
              <w:rPr>
                <w:sz w:val="22"/>
              </w:rPr>
              <w:t>Планируемый период реализации</w:t>
            </w:r>
          </w:p>
        </w:tc>
      </w:tr>
      <w:tr w:rsidR="00FA1F4E">
        <w:tc>
          <w:tcPr>
            <w:tcW w:w="427" w:type="dxa"/>
          </w:tcPr>
          <w:p w:rsidR="00FA1F4E" w:rsidRDefault="003B2CFF">
            <w:pPr>
              <w:ind w:firstLine="0"/>
              <w:rPr>
                <w:sz w:val="22"/>
              </w:rPr>
            </w:pPr>
            <w:r>
              <w:rPr>
                <w:sz w:val="22"/>
              </w:rPr>
              <w:t>1</w:t>
            </w:r>
          </w:p>
        </w:tc>
        <w:tc>
          <w:tcPr>
            <w:tcW w:w="4798" w:type="dxa"/>
          </w:tcPr>
          <w:p w:rsidR="00FA1F4E" w:rsidRDefault="003B2CFF">
            <w:pPr>
              <w:ind w:firstLine="0"/>
              <w:rPr>
                <w:sz w:val="22"/>
              </w:rPr>
            </w:pPr>
            <w:r>
              <w:rPr>
                <w:sz w:val="22"/>
              </w:rPr>
              <w:t>газопровод распределительный ул. Комсомоль</w:t>
            </w:r>
            <w:r>
              <w:rPr>
                <w:sz w:val="22"/>
              </w:rPr>
              <w:softHyphen/>
              <w:t>ская, ул. Северная, ул. Пионерская, ул. Розы Люксем</w:t>
            </w:r>
            <w:r>
              <w:rPr>
                <w:sz w:val="22"/>
              </w:rPr>
              <w:softHyphen/>
              <w:t>бург, ул. Железнодорожная, ул. Мошкина, пер. Онеж</w:t>
            </w:r>
            <w:r>
              <w:rPr>
                <w:sz w:val="22"/>
              </w:rPr>
              <w:softHyphen/>
              <w:t>ский, пер. Сельский, пер. Озерный в г. Лодейное Поле</w:t>
            </w:r>
          </w:p>
        </w:tc>
        <w:tc>
          <w:tcPr>
            <w:tcW w:w="2598" w:type="dxa"/>
          </w:tcPr>
          <w:p w:rsidR="00FA1F4E" w:rsidRDefault="003B2CFF">
            <w:pPr>
              <w:ind w:firstLine="0"/>
              <w:rPr>
                <w:sz w:val="22"/>
              </w:rPr>
            </w:pPr>
            <w:r>
              <w:rPr>
                <w:rFonts w:eastAsia="Calibri"/>
                <w:sz w:val="22"/>
              </w:rPr>
              <w:t>протяженность: 4139 м</w:t>
            </w:r>
          </w:p>
        </w:tc>
        <w:tc>
          <w:tcPr>
            <w:tcW w:w="2598" w:type="dxa"/>
          </w:tcPr>
          <w:p w:rsidR="00FA1F4E" w:rsidRDefault="003B2CFF">
            <w:pPr>
              <w:ind w:firstLine="0"/>
              <w:rPr>
                <w:sz w:val="22"/>
              </w:rPr>
            </w:pPr>
            <w:r>
              <w:rPr>
                <w:sz w:val="22"/>
              </w:rPr>
              <w:t>до 2025 года</w:t>
            </w:r>
          </w:p>
        </w:tc>
      </w:tr>
      <w:tr w:rsidR="00FA1F4E">
        <w:tc>
          <w:tcPr>
            <w:tcW w:w="427" w:type="dxa"/>
          </w:tcPr>
          <w:p w:rsidR="00FA1F4E" w:rsidRDefault="003B2CFF">
            <w:pPr>
              <w:ind w:firstLine="0"/>
              <w:rPr>
                <w:sz w:val="22"/>
              </w:rPr>
            </w:pPr>
            <w:r>
              <w:rPr>
                <w:sz w:val="22"/>
              </w:rPr>
              <w:t>2</w:t>
            </w:r>
          </w:p>
        </w:tc>
        <w:tc>
          <w:tcPr>
            <w:tcW w:w="4798" w:type="dxa"/>
          </w:tcPr>
          <w:p w:rsidR="00FA1F4E" w:rsidRDefault="003B2CFF">
            <w:pPr>
              <w:ind w:firstLine="0"/>
              <w:rPr>
                <w:sz w:val="22"/>
              </w:rPr>
            </w:pPr>
            <w:r>
              <w:rPr>
                <w:sz w:val="22"/>
              </w:rPr>
              <w:t>газопровод распределительный Ленинградское шоссе (от пер. Дружбы до р. Каномка) в г. Лодейное Поле</w:t>
            </w:r>
          </w:p>
        </w:tc>
        <w:tc>
          <w:tcPr>
            <w:tcW w:w="2598" w:type="dxa"/>
          </w:tcPr>
          <w:p w:rsidR="00FA1F4E" w:rsidRDefault="003B2CFF">
            <w:pPr>
              <w:ind w:firstLine="0"/>
              <w:rPr>
                <w:sz w:val="22"/>
              </w:rPr>
            </w:pPr>
            <w:r>
              <w:rPr>
                <w:rFonts w:eastAsia="Calibri"/>
                <w:sz w:val="22"/>
              </w:rPr>
              <w:t>протяженность: 1000 м</w:t>
            </w:r>
          </w:p>
        </w:tc>
        <w:tc>
          <w:tcPr>
            <w:tcW w:w="2598" w:type="dxa"/>
          </w:tcPr>
          <w:p w:rsidR="00FA1F4E" w:rsidRDefault="003B2CFF">
            <w:pPr>
              <w:ind w:firstLine="0"/>
              <w:rPr>
                <w:sz w:val="22"/>
              </w:rPr>
            </w:pPr>
            <w:r>
              <w:rPr>
                <w:sz w:val="22"/>
              </w:rPr>
              <w:t>до 2025 года</w:t>
            </w:r>
          </w:p>
        </w:tc>
      </w:tr>
      <w:tr w:rsidR="00FA1F4E">
        <w:tc>
          <w:tcPr>
            <w:tcW w:w="427" w:type="dxa"/>
          </w:tcPr>
          <w:p w:rsidR="00FA1F4E" w:rsidRDefault="003B2CFF">
            <w:pPr>
              <w:ind w:firstLine="0"/>
              <w:rPr>
                <w:sz w:val="22"/>
              </w:rPr>
            </w:pPr>
            <w:r>
              <w:rPr>
                <w:sz w:val="22"/>
              </w:rPr>
              <w:t>3</w:t>
            </w:r>
          </w:p>
        </w:tc>
        <w:tc>
          <w:tcPr>
            <w:tcW w:w="4798" w:type="dxa"/>
          </w:tcPr>
          <w:p w:rsidR="00FA1F4E" w:rsidRDefault="003B2CFF">
            <w:pPr>
              <w:ind w:firstLine="0"/>
              <w:rPr>
                <w:sz w:val="22"/>
              </w:rPr>
            </w:pPr>
            <w:r>
              <w:rPr>
                <w:sz w:val="22"/>
              </w:rPr>
              <w:t>распределительный газопровод по ул. Лесная, пр. Октябрьский, ул. Шмакова</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2025 года</w:t>
            </w:r>
          </w:p>
        </w:tc>
      </w:tr>
      <w:tr w:rsidR="00FA1F4E">
        <w:tc>
          <w:tcPr>
            <w:tcW w:w="427" w:type="dxa"/>
          </w:tcPr>
          <w:p w:rsidR="00FA1F4E" w:rsidRDefault="003B2CFF">
            <w:pPr>
              <w:ind w:firstLine="0"/>
              <w:rPr>
                <w:sz w:val="22"/>
              </w:rPr>
            </w:pPr>
            <w:r>
              <w:rPr>
                <w:sz w:val="22"/>
              </w:rPr>
              <w:t>4</w:t>
            </w:r>
          </w:p>
        </w:tc>
        <w:tc>
          <w:tcPr>
            <w:tcW w:w="4798" w:type="dxa"/>
          </w:tcPr>
          <w:p w:rsidR="00FA1F4E" w:rsidRDefault="003B2CFF">
            <w:pPr>
              <w:ind w:firstLine="0"/>
              <w:rPr>
                <w:sz w:val="22"/>
              </w:rPr>
            </w:pPr>
            <w:r>
              <w:rPr>
                <w:sz w:val="22"/>
              </w:rPr>
              <w:t>распределительный газопровод на участке планируемого индивидуального жилищного строительства по левую сторону р. Каномка (от существующей ПРГ № 119)</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2025 года</w:t>
            </w:r>
          </w:p>
        </w:tc>
      </w:tr>
      <w:tr w:rsidR="00FA1F4E">
        <w:tc>
          <w:tcPr>
            <w:tcW w:w="427" w:type="dxa"/>
          </w:tcPr>
          <w:p w:rsidR="00FA1F4E" w:rsidRDefault="003B2CFF">
            <w:pPr>
              <w:ind w:firstLine="0"/>
              <w:rPr>
                <w:sz w:val="22"/>
              </w:rPr>
            </w:pPr>
            <w:r>
              <w:rPr>
                <w:sz w:val="22"/>
              </w:rPr>
              <w:lastRenderedPageBreak/>
              <w:t>5</w:t>
            </w:r>
          </w:p>
        </w:tc>
        <w:tc>
          <w:tcPr>
            <w:tcW w:w="4798" w:type="dxa"/>
          </w:tcPr>
          <w:p w:rsidR="00FA1F4E" w:rsidRDefault="003B2CFF">
            <w:pPr>
              <w:ind w:firstLine="0"/>
              <w:rPr>
                <w:sz w:val="22"/>
              </w:rPr>
            </w:pPr>
            <w:r>
              <w:rPr>
                <w:sz w:val="22"/>
              </w:rPr>
              <w:t xml:space="preserve">реконструкция пунктов редуцирования газа в г. Лодейное Поле </w:t>
            </w:r>
          </w:p>
        </w:tc>
        <w:tc>
          <w:tcPr>
            <w:tcW w:w="2598" w:type="dxa"/>
          </w:tcPr>
          <w:p w:rsidR="00FA1F4E" w:rsidRDefault="003B2CFF">
            <w:pPr>
              <w:ind w:firstLine="0"/>
              <w:rPr>
                <w:sz w:val="22"/>
              </w:rPr>
            </w:pPr>
            <w:r>
              <w:rPr>
                <w:sz w:val="22"/>
              </w:rPr>
              <w:t>5 шт.</w:t>
            </w:r>
          </w:p>
        </w:tc>
        <w:tc>
          <w:tcPr>
            <w:tcW w:w="2598" w:type="dxa"/>
          </w:tcPr>
          <w:p w:rsidR="00FA1F4E" w:rsidRDefault="003B2CFF">
            <w:pPr>
              <w:ind w:firstLine="0"/>
              <w:rPr>
                <w:sz w:val="22"/>
              </w:rPr>
            </w:pPr>
            <w:r>
              <w:rPr>
                <w:sz w:val="22"/>
              </w:rPr>
              <w:t>до 2025 года</w:t>
            </w:r>
          </w:p>
        </w:tc>
      </w:tr>
      <w:tr w:rsidR="00FA1F4E">
        <w:tc>
          <w:tcPr>
            <w:tcW w:w="427" w:type="dxa"/>
          </w:tcPr>
          <w:p w:rsidR="00FA1F4E" w:rsidRDefault="003B2CFF">
            <w:pPr>
              <w:ind w:firstLine="0"/>
              <w:rPr>
                <w:sz w:val="22"/>
              </w:rPr>
            </w:pPr>
            <w:r>
              <w:rPr>
                <w:sz w:val="22"/>
              </w:rPr>
              <w:t>6</w:t>
            </w:r>
          </w:p>
        </w:tc>
        <w:tc>
          <w:tcPr>
            <w:tcW w:w="4798" w:type="dxa"/>
          </w:tcPr>
          <w:p w:rsidR="00FA1F4E" w:rsidRDefault="003B2CFF">
            <w:pPr>
              <w:ind w:firstLine="0"/>
              <w:rPr>
                <w:sz w:val="22"/>
              </w:rPr>
            </w:pPr>
            <w:r>
              <w:rPr>
                <w:sz w:val="22"/>
              </w:rPr>
              <w:t>строительство нового ПРГ и распределительного газопровода по ул. Советская, Швейников</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7</w:t>
            </w:r>
          </w:p>
        </w:tc>
        <w:tc>
          <w:tcPr>
            <w:tcW w:w="4798" w:type="dxa"/>
          </w:tcPr>
          <w:p w:rsidR="00FA1F4E" w:rsidRDefault="003B2CFF">
            <w:pPr>
              <w:ind w:firstLine="0"/>
              <w:rPr>
                <w:sz w:val="22"/>
              </w:rPr>
            </w:pPr>
            <w:r>
              <w:rPr>
                <w:sz w:val="22"/>
              </w:rPr>
              <w:t>строительство участков газопровода от существующих распределительных сетей низкого давления в северной и южной части г. Лодейное Поле</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8</w:t>
            </w:r>
          </w:p>
        </w:tc>
        <w:tc>
          <w:tcPr>
            <w:tcW w:w="4798" w:type="dxa"/>
          </w:tcPr>
          <w:p w:rsidR="00FA1F4E" w:rsidRDefault="003B2CFF">
            <w:pPr>
              <w:ind w:firstLine="0"/>
              <w:rPr>
                <w:sz w:val="22"/>
              </w:rPr>
            </w:pPr>
            <w:r>
              <w:rPr>
                <w:sz w:val="22"/>
              </w:rPr>
              <w:t>строительство нового ПРГ и распределительного газопровода для подключения потребителей по ул. Талалихина</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9</w:t>
            </w:r>
          </w:p>
        </w:tc>
        <w:tc>
          <w:tcPr>
            <w:tcW w:w="4798" w:type="dxa"/>
          </w:tcPr>
          <w:p w:rsidR="00FA1F4E" w:rsidRDefault="003B2CFF">
            <w:pPr>
              <w:ind w:firstLine="0"/>
              <w:rPr>
                <w:sz w:val="22"/>
              </w:rPr>
            </w:pPr>
            <w:r>
              <w:rPr>
                <w:sz w:val="22"/>
              </w:rPr>
              <w:t xml:space="preserve">реконструкцию пунктов редуцирования газа в г. Лодейное Поле </w:t>
            </w:r>
          </w:p>
        </w:tc>
        <w:tc>
          <w:tcPr>
            <w:tcW w:w="2598" w:type="dxa"/>
          </w:tcPr>
          <w:p w:rsidR="00FA1F4E" w:rsidRDefault="003B2CFF">
            <w:pPr>
              <w:ind w:firstLine="0"/>
              <w:rPr>
                <w:sz w:val="22"/>
              </w:rPr>
            </w:pPr>
            <w:r>
              <w:rPr>
                <w:sz w:val="22"/>
              </w:rPr>
              <w:t>5 шт.</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10</w:t>
            </w:r>
          </w:p>
        </w:tc>
        <w:tc>
          <w:tcPr>
            <w:tcW w:w="4798" w:type="dxa"/>
          </w:tcPr>
          <w:p w:rsidR="00FA1F4E" w:rsidRDefault="003B2CFF">
            <w:pPr>
              <w:ind w:firstLine="0"/>
              <w:rPr>
                <w:sz w:val="22"/>
              </w:rPr>
            </w:pPr>
            <w:r>
              <w:rPr>
                <w:sz w:val="22"/>
              </w:rPr>
              <w:t>Для подключения потребителей дачного поселка (СНТ «Шамокша») в д. Шамокша необходимо строительство распределительного газопровода среднего давления (от сущ. ПРГ № 124)</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11</w:t>
            </w:r>
          </w:p>
        </w:tc>
        <w:tc>
          <w:tcPr>
            <w:tcW w:w="4798" w:type="dxa"/>
          </w:tcPr>
          <w:p w:rsidR="00FA1F4E" w:rsidRDefault="003B2CFF">
            <w:pPr>
              <w:ind w:firstLine="0"/>
              <w:rPr>
                <w:sz w:val="22"/>
              </w:rPr>
            </w:pPr>
            <w:r>
              <w:rPr>
                <w:sz w:val="22"/>
              </w:rPr>
              <w:t>Для подключения проектируемой БМК «Водоканал» необходимо строительство газопровода высокого давления</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12</w:t>
            </w:r>
          </w:p>
        </w:tc>
        <w:tc>
          <w:tcPr>
            <w:tcW w:w="4798" w:type="dxa"/>
          </w:tcPr>
          <w:p w:rsidR="00FA1F4E" w:rsidRDefault="003B2CFF">
            <w:pPr>
              <w:ind w:firstLine="0"/>
              <w:rPr>
                <w:sz w:val="22"/>
              </w:rPr>
            </w:pPr>
            <w:r>
              <w:rPr>
                <w:sz w:val="22"/>
              </w:rPr>
              <w:t>Для подключения проектируемой БМК в д. Шамокша необходимо строительство газопровода среднего давления</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13</w:t>
            </w:r>
          </w:p>
        </w:tc>
        <w:tc>
          <w:tcPr>
            <w:tcW w:w="4798" w:type="dxa"/>
          </w:tcPr>
          <w:p w:rsidR="00FA1F4E" w:rsidRDefault="003B2CFF">
            <w:pPr>
              <w:ind w:firstLine="0"/>
              <w:rPr>
                <w:sz w:val="22"/>
              </w:rPr>
            </w:pPr>
            <w:r>
              <w:rPr>
                <w:sz w:val="22"/>
              </w:rPr>
              <w:t>Для подключения потребителей в квартале планируемого индивидуального жилищного строительства на западе города необходимо строительство нового ПРГ и распределительного газопровода</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14</w:t>
            </w:r>
          </w:p>
        </w:tc>
        <w:tc>
          <w:tcPr>
            <w:tcW w:w="4798" w:type="dxa"/>
          </w:tcPr>
          <w:p w:rsidR="00FA1F4E" w:rsidRDefault="003B2CFF">
            <w:pPr>
              <w:ind w:firstLine="0"/>
              <w:rPr>
                <w:sz w:val="22"/>
              </w:rPr>
            </w:pPr>
            <w:r>
              <w:rPr>
                <w:sz w:val="22"/>
              </w:rPr>
              <w:t>Для подключения потребителей в квартале планируемого индивидуального жилищного строительства на юге города необходимо строительство новых ПРГ (2 шт.) и распределительного газопровода</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r w:rsidR="00FA1F4E">
        <w:tc>
          <w:tcPr>
            <w:tcW w:w="427" w:type="dxa"/>
          </w:tcPr>
          <w:p w:rsidR="00FA1F4E" w:rsidRDefault="003B2CFF">
            <w:pPr>
              <w:ind w:firstLine="0"/>
              <w:rPr>
                <w:sz w:val="22"/>
              </w:rPr>
            </w:pPr>
            <w:r>
              <w:rPr>
                <w:sz w:val="22"/>
              </w:rPr>
              <w:t>15</w:t>
            </w:r>
          </w:p>
        </w:tc>
        <w:tc>
          <w:tcPr>
            <w:tcW w:w="4798" w:type="dxa"/>
          </w:tcPr>
          <w:p w:rsidR="00FA1F4E" w:rsidRDefault="003B2CFF">
            <w:pPr>
              <w:ind w:firstLine="0"/>
              <w:rPr>
                <w:sz w:val="22"/>
              </w:rPr>
            </w:pPr>
            <w:r>
              <w:rPr>
                <w:sz w:val="22"/>
              </w:rPr>
              <w:t>Для подключения потребителей в квартале планируемого индивидуального жилищного строительства на северо-востоке города необходимо строительство нового ПРГ и распределительного газопровода</w:t>
            </w:r>
          </w:p>
        </w:tc>
        <w:tc>
          <w:tcPr>
            <w:tcW w:w="2598" w:type="dxa"/>
          </w:tcPr>
          <w:p w:rsidR="00FA1F4E" w:rsidRDefault="003B2CFF">
            <w:pPr>
              <w:ind w:firstLine="0"/>
              <w:rPr>
                <w:sz w:val="22"/>
              </w:rPr>
            </w:pPr>
            <w:r>
              <w:rPr>
                <w:rFonts w:eastAsia="Calibri"/>
                <w:sz w:val="22"/>
              </w:rPr>
              <w:t>протяженность: уточняется проектом</w:t>
            </w:r>
          </w:p>
        </w:tc>
        <w:tc>
          <w:tcPr>
            <w:tcW w:w="2598" w:type="dxa"/>
          </w:tcPr>
          <w:p w:rsidR="00FA1F4E" w:rsidRDefault="003B2CFF">
            <w:pPr>
              <w:ind w:firstLine="0"/>
              <w:rPr>
                <w:sz w:val="22"/>
              </w:rPr>
            </w:pPr>
            <w:r>
              <w:rPr>
                <w:sz w:val="22"/>
              </w:rPr>
              <w:t>до 2030 года</w:t>
            </w:r>
          </w:p>
        </w:tc>
      </w:tr>
    </w:tbl>
    <w:p w:rsidR="00FA1F4E" w:rsidRDefault="00FA1F4E"/>
    <w:p w:rsidR="00FA1F4E" w:rsidRDefault="003B2CFF">
      <w:pPr>
        <w:pStyle w:val="Default"/>
        <w:jc w:val="center"/>
        <w:rPr>
          <w:color w:val="auto"/>
        </w:rPr>
      </w:pPr>
      <w:r>
        <w:rPr>
          <w:color w:val="auto"/>
        </w:rPr>
        <w:t>Таблица 14. Расчеты процента газификации жилищного комплекса г. Лодейное Поле</w:t>
      </w:r>
    </w:p>
    <w:tbl>
      <w:tblPr>
        <w:tblStyle w:val="116"/>
        <w:tblW w:w="5000" w:type="pct"/>
        <w:tblLook w:val="04A0" w:firstRow="1" w:lastRow="0" w:firstColumn="1" w:lastColumn="0" w:noHBand="0" w:noVBand="1"/>
      </w:tblPr>
      <w:tblGrid>
        <w:gridCol w:w="1302"/>
        <w:gridCol w:w="1302"/>
        <w:gridCol w:w="1302"/>
        <w:gridCol w:w="1303"/>
        <w:gridCol w:w="1303"/>
        <w:gridCol w:w="1303"/>
        <w:gridCol w:w="1303"/>
        <w:gridCol w:w="1303"/>
      </w:tblGrid>
      <w:tr w:rsidR="00FA1F4E" w:rsidTr="00FA1F4E">
        <w:trPr>
          <w:trHeight w:val="20"/>
        </w:trPr>
        <w:tc>
          <w:tcPr>
            <w:tcW w:w="1249" w:type="pct"/>
            <w:gridSpan w:val="2"/>
          </w:tcPr>
          <w:p w:rsidR="00FA1F4E" w:rsidRDefault="003B2CFF">
            <w:pPr>
              <w:pStyle w:val="afff2"/>
              <w:ind w:firstLine="0"/>
              <w:jc w:val="center"/>
              <w:rPr>
                <w:rFonts w:eastAsia="Times New Roman" w:cs="Times New Roman"/>
              </w:rPr>
            </w:pPr>
            <w:r>
              <w:rPr>
                <w:rFonts w:eastAsia="Times New Roman" w:cs="Times New Roman"/>
              </w:rPr>
              <w:t>Количество потребителей всего, шт.</w:t>
            </w:r>
          </w:p>
        </w:tc>
        <w:tc>
          <w:tcPr>
            <w:tcW w:w="1250" w:type="pct"/>
            <w:gridSpan w:val="2"/>
          </w:tcPr>
          <w:p w:rsidR="00FA1F4E" w:rsidRDefault="003B2CFF">
            <w:pPr>
              <w:pStyle w:val="afff2"/>
              <w:ind w:firstLine="0"/>
              <w:jc w:val="center"/>
              <w:rPr>
                <w:rFonts w:eastAsia="Times New Roman" w:cs="Times New Roman"/>
              </w:rPr>
            </w:pPr>
            <w:r>
              <w:rPr>
                <w:rFonts w:eastAsia="Times New Roman" w:cs="Times New Roman"/>
              </w:rPr>
              <w:t>Количество подлежащих газификации потребителей, шт.</w:t>
            </w:r>
          </w:p>
        </w:tc>
        <w:tc>
          <w:tcPr>
            <w:tcW w:w="1250" w:type="pct"/>
            <w:gridSpan w:val="2"/>
          </w:tcPr>
          <w:p w:rsidR="00FA1F4E" w:rsidRDefault="003B2CFF">
            <w:pPr>
              <w:pStyle w:val="afff2"/>
              <w:ind w:firstLine="0"/>
              <w:jc w:val="center"/>
              <w:rPr>
                <w:rFonts w:eastAsia="Times New Roman" w:cs="Times New Roman"/>
              </w:rPr>
            </w:pPr>
            <w:r>
              <w:rPr>
                <w:rFonts w:eastAsia="Times New Roman" w:cs="Times New Roman"/>
              </w:rPr>
              <w:t>Количество газифицированных потребителей, шт.</w:t>
            </w:r>
          </w:p>
        </w:tc>
        <w:tc>
          <w:tcPr>
            <w:tcW w:w="1250" w:type="pct"/>
            <w:gridSpan w:val="2"/>
          </w:tcPr>
          <w:p w:rsidR="00FA1F4E" w:rsidRDefault="003B2CFF">
            <w:pPr>
              <w:pStyle w:val="afff2"/>
              <w:ind w:firstLine="0"/>
              <w:jc w:val="center"/>
              <w:rPr>
                <w:rFonts w:eastAsia="Times New Roman" w:cs="Times New Roman"/>
              </w:rPr>
            </w:pPr>
            <w:r>
              <w:rPr>
                <w:rFonts w:eastAsia="Times New Roman" w:cs="Times New Roman"/>
              </w:rPr>
              <w:t>Процент газифицированных потребителей, %</w:t>
            </w:r>
          </w:p>
        </w:tc>
      </w:tr>
      <w:tr w:rsidR="00FA1F4E" w:rsidTr="00FA1F4E">
        <w:trPr>
          <w:trHeight w:val="20"/>
        </w:trPr>
        <w:tc>
          <w:tcPr>
            <w:tcW w:w="625" w:type="pct"/>
          </w:tcPr>
          <w:p w:rsidR="00FA1F4E" w:rsidRDefault="003B2CFF">
            <w:pPr>
              <w:pStyle w:val="afff2"/>
              <w:ind w:firstLine="0"/>
              <w:jc w:val="center"/>
              <w:rPr>
                <w:rFonts w:eastAsia="Times New Roman" w:cs="Times New Roman"/>
              </w:rPr>
            </w:pPr>
            <w:r>
              <w:rPr>
                <w:rFonts w:eastAsia="Times New Roman" w:cs="Times New Roman"/>
              </w:rPr>
              <w:t>дома</w:t>
            </w:r>
          </w:p>
        </w:tc>
        <w:tc>
          <w:tcPr>
            <w:tcW w:w="625" w:type="pct"/>
          </w:tcPr>
          <w:p w:rsidR="00FA1F4E" w:rsidRDefault="003B2CFF">
            <w:pPr>
              <w:pStyle w:val="afff2"/>
              <w:ind w:firstLine="0"/>
              <w:jc w:val="center"/>
              <w:rPr>
                <w:rFonts w:eastAsia="Times New Roman" w:cs="Times New Roman"/>
              </w:rPr>
            </w:pPr>
            <w:r>
              <w:rPr>
                <w:rFonts w:eastAsia="Times New Roman" w:cs="Times New Roman"/>
              </w:rPr>
              <w:t>квартиры</w:t>
            </w:r>
          </w:p>
        </w:tc>
        <w:tc>
          <w:tcPr>
            <w:tcW w:w="625" w:type="pct"/>
          </w:tcPr>
          <w:p w:rsidR="00FA1F4E" w:rsidRDefault="003B2CFF">
            <w:pPr>
              <w:pStyle w:val="afff2"/>
              <w:ind w:firstLine="0"/>
              <w:jc w:val="center"/>
              <w:rPr>
                <w:rFonts w:eastAsia="Times New Roman" w:cs="Times New Roman"/>
              </w:rPr>
            </w:pPr>
            <w:r>
              <w:rPr>
                <w:rFonts w:eastAsia="Times New Roman" w:cs="Times New Roman"/>
              </w:rPr>
              <w:t>дома</w:t>
            </w:r>
          </w:p>
        </w:tc>
        <w:tc>
          <w:tcPr>
            <w:tcW w:w="625" w:type="pct"/>
          </w:tcPr>
          <w:p w:rsidR="00FA1F4E" w:rsidRDefault="003B2CFF">
            <w:pPr>
              <w:pStyle w:val="afff2"/>
              <w:ind w:firstLine="0"/>
              <w:jc w:val="center"/>
              <w:rPr>
                <w:rFonts w:eastAsia="Times New Roman" w:cs="Times New Roman"/>
              </w:rPr>
            </w:pPr>
            <w:r>
              <w:rPr>
                <w:rFonts w:eastAsia="Times New Roman" w:cs="Times New Roman"/>
              </w:rPr>
              <w:t>квартиры</w:t>
            </w:r>
          </w:p>
        </w:tc>
        <w:tc>
          <w:tcPr>
            <w:tcW w:w="625" w:type="pct"/>
          </w:tcPr>
          <w:p w:rsidR="00FA1F4E" w:rsidRDefault="003B2CFF">
            <w:pPr>
              <w:pStyle w:val="afff2"/>
              <w:ind w:firstLine="0"/>
              <w:jc w:val="center"/>
              <w:rPr>
                <w:rFonts w:eastAsia="Times New Roman" w:cs="Times New Roman"/>
              </w:rPr>
            </w:pPr>
            <w:r>
              <w:rPr>
                <w:rFonts w:eastAsia="Times New Roman" w:cs="Times New Roman"/>
              </w:rPr>
              <w:t>дома</w:t>
            </w:r>
          </w:p>
        </w:tc>
        <w:tc>
          <w:tcPr>
            <w:tcW w:w="625" w:type="pct"/>
          </w:tcPr>
          <w:p w:rsidR="00FA1F4E" w:rsidRDefault="003B2CFF">
            <w:pPr>
              <w:pStyle w:val="afff2"/>
              <w:ind w:firstLine="0"/>
              <w:jc w:val="center"/>
              <w:rPr>
                <w:rFonts w:eastAsia="Times New Roman" w:cs="Times New Roman"/>
              </w:rPr>
            </w:pPr>
            <w:r>
              <w:rPr>
                <w:rFonts w:eastAsia="Times New Roman" w:cs="Times New Roman"/>
              </w:rPr>
              <w:t>квартиры</w:t>
            </w:r>
          </w:p>
        </w:tc>
        <w:tc>
          <w:tcPr>
            <w:tcW w:w="625" w:type="pct"/>
          </w:tcPr>
          <w:p w:rsidR="00FA1F4E" w:rsidRDefault="003B2CFF">
            <w:pPr>
              <w:pStyle w:val="afff2"/>
              <w:ind w:firstLine="0"/>
              <w:jc w:val="center"/>
              <w:rPr>
                <w:rFonts w:eastAsia="Times New Roman" w:cs="Times New Roman"/>
              </w:rPr>
            </w:pPr>
            <w:r>
              <w:rPr>
                <w:rFonts w:eastAsia="Times New Roman" w:cs="Times New Roman"/>
              </w:rPr>
              <w:t>дома</w:t>
            </w:r>
          </w:p>
        </w:tc>
        <w:tc>
          <w:tcPr>
            <w:tcW w:w="625" w:type="pct"/>
          </w:tcPr>
          <w:p w:rsidR="00FA1F4E" w:rsidRDefault="003B2CFF">
            <w:pPr>
              <w:pStyle w:val="afff2"/>
              <w:ind w:firstLine="0"/>
              <w:jc w:val="center"/>
              <w:rPr>
                <w:rFonts w:eastAsia="Times New Roman" w:cs="Times New Roman"/>
              </w:rPr>
            </w:pPr>
            <w:r>
              <w:rPr>
                <w:rFonts w:eastAsia="Times New Roman" w:cs="Times New Roman"/>
              </w:rPr>
              <w:t>квартиры</w:t>
            </w:r>
          </w:p>
        </w:tc>
      </w:tr>
      <w:tr w:rsidR="00FA1F4E" w:rsidTr="00FA1F4E">
        <w:trPr>
          <w:trHeight w:val="20"/>
        </w:trPr>
        <w:tc>
          <w:tcPr>
            <w:tcW w:w="625" w:type="pct"/>
          </w:tcPr>
          <w:p w:rsidR="00FA1F4E" w:rsidRDefault="003B2CFF">
            <w:pPr>
              <w:pStyle w:val="afff2"/>
              <w:ind w:firstLine="0"/>
              <w:jc w:val="center"/>
              <w:rPr>
                <w:rFonts w:eastAsia="Times New Roman" w:cs="Times New Roman"/>
              </w:rPr>
            </w:pPr>
            <w:r>
              <w:rPr>
                <w:rFonts w:eastAsia="Times New Roman" w:cs="Times New Roman"/>
              </w:rPr>
              <w:t>1931</w:t>
            </w:r>
          </w:p>
        </w:tc>
        <w:tc>
          <w:tcPr>
            <w:tcW w:w="625" w:type="pct"/>
          </w:tcPr>
          <w:p w:rsidR="00FA1F4E" w:rsidRDefault="003B2CFF">
            <w:pPr>
              <w:pStyle w:val="afff2"/>
              <w:ind w:firstLine="0"/>
              <w:jc w:val="center"/>
              <w:rPr>
                <w:rFonts w:eastAsia="Times New Roman" w:cs="Times New Roman"/>
              </w:rPr>
            </w:pPr>
            <w:r>
              <w:rPr>
                <w:rFonts w:eastAsia="Times New Roman" w:cs="Times New Roman"/>
              </w:rPr>
              <w:t>7267</w:t>
            </w:r>
          </w:p>
        </w:tc>
        <w:tc>
          <w:tcPr>
            <w:tcW w:w="625" w:type="pct"/>
          </w:tcPr>
          <w:p w:rsidR="00FA1F4E" w:rsidRDefault="003B2CFF">
            <w:pPr>
              <w:pStyle w:val="afff2"/>
              <w:ind w:firstLine="0"/>
              <w:jc w:val="center"/>
              <w:rPr>
                <w:rFonts w:eastAsia="Times New Roman" w:cs="Times New Roman"/>
              </w:rPr>
            </w:pPr>
            <w:r>
              <w:rPr>
                <w:rFonts w:eastAsia="Times New Roman" w:cs="Times New Roman"/>
              </w:rPr>
              <w:t>1545</w:t>
            </w:r>
          </w:p>
        </w:tc>
        <w:tc>
          <w:tcPr>
            <w:tcW w:w="625" w:type="pct"/>
          </w:tcPr>
          <w:p w:rsidR="00FA1F4E" w:rsidRDefault="003B2CFF">
            <w:pPr>
              <w:pStyle w:val="afff2"/>
              <w:ind w:firstLine="0"/>
              <w:jc w:val="center"/>
              <w:rPr>
                <w:rFonts w:eastAsia="Times New Roman" w:cs="Times New Roman"/>
              </w:rPr>
            </w:pPr>
            <w:r>
              <w:rPr>
                <w:rFonts w:eastAsia="Times New Roman" w:cs="Times New Roman"/>
              </w:rPr>
              <w:t>6640</w:t>
            </w:r>
          </w:p>
        </w:tc>
        <w:tc>
          <w:tcPr>
            <w:tcW w:w="625" w:type="pct"/>
          </w:tcPr>
          <w:p w:rsidR="00FA1F4E" w:rsidRDefault="003B2CFF">
            <w:pPr>
              <w:pStyle w:val="afff2"/>
              <w:ind w:firstLine="0"/>
              <w:jc w:val="center"/>
              <w:rPr>
                <w:rFonts w:eastAsia="Times New Roman" w:cs="Times New Roman"/>
              </w:rPr>
            </w:pPr>
            <w:r>
              <w:rPr>
                <w:rFonts w:eastAsia="Times New Roman" w:cs="Times New Roman"/>
              </w:rPr>
              <w:t>580</w:t>
            </w:r>
          </w:p>
        </w:tc>
        <w:tc>
          <w:tcPr>
            <w:tcW w:w="625" w:type="pct"/>
          </w:tcPr>
          <w:p w:rsidR="00FA1F4E" w:rsidRDefault="003B2CFF">
            <w:pPr>
              <w:pStyle w:val="afff2"/>
              <w:ind w:firstLine="0"/>
              <w:jc w:val="center"/>
              <w:rPr>
                <w:rFonts w:eastAsia="Times New Roman" w:cs="Times New Roman"/>
              </w:rPr>
            </w:pPr>
            <w:r>
              <w:rPr>
                <w:rFonts w:eastAsia="Times New Roman" w:cs="Times New Roman"/>
              </w:rPr>
              <w:t>6537</w:t>
            </w:r>
          </w:p>
        </w:tc>
        <w:tc>
          <w:tcPr>
            <w:tcW w:w="625" w:type="pct"/>
          </w:tcPr>
          <w:p w:rsidR="00FA1F4E" w:rsidRDefault="003B2CFF">
            <w:pPr>
              <w:pStyle w:val="afff2"/>
              <w:ind w:firstLine="0"/>
              <w:jc w:val="center"/>
              <w:rPr>
                <w:rFonts w:eastAsia="Times New Roman" w:cs="Times New Roman"/>
              </w:rPr>
            </w:pPr>
            <w:r>
              <w:rPr>
                <w:rFonts w:eastAsia="Times New Roman" w:cs="Times New Roman"/>
              </w:rPr>
              <w:t>38</w:t>
            </w:r>
          </w:p>
        </w:tc>
        <w:tc>
          <w:tcPr>
            <w:tcW w:w="625" w:type="pct"/>
          </w:tcPr>
          <w:p w:rsidR="00FA1F4E" w:rsidRDefault="003B2CFF">
            <w:pPr>
              <w:pStyle w:val="afff2"/>
              <w:ind w:firstLine="0"/>
              <w:jc w:val="center"/>
              <w:rPr>
                <w:rFonts w:eastAsia="Times New Roman" w:cs="Times New Roman"/>
              </w:rPr>
            </w:pPr>
            <w:r>
              <w:rPr>
                <w:rFonts w:eastAsia="Times New Roman" w:cs="Times New Roman"/>
              </w:rPr>
              <w:t>98</w:t>
            </w:r>
          </w:p>
        </w:tc>
      </w:tr>
    </w:tbl>
    <w:p w:rsidR="00FA1F4E" w:rsidRDefault="00FA1F4E"/>
    <w:p w:rsidR="00FA1F4E" w:rsidRDefault="003B2CFF">
      <w:pPr>
        <w:tabs>
          <w:tab w:val="left" w:pos="4215"/>
        </w:tabs>
        <w:ind w:firstLine="0"/>
        <w:jc w:val="center"/>
        <w:rPr>
          <w:rFonts w:cs="Times New Roman"/>
          <w:szCs w:val="24"/>
        </w:rPr>
      </w:pPr>
      <w:r>
        <w:rPr>
          <w:rFonts w:cs="Times New Roman"/>
          <w:szCs w:val="24"/>
        </w:rPr>
        <w:t>Таблица 15. Прогнозируемые объемы потребления газа Лодейнопольского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976"/>
        <w:gridCol w:w="2837"/>
        <w:gridCol w:w="1949"/>
      </w:tblGrid>
      <w:tr w:rsidR="00FA1F4E" w:rsidTr="00C874DA">
        <w:trPr>
          <w:trHeight w:val="417"/>
          <w:tblHeader/>
        </w:trPr>
        <w:tc>
          <w:tcPr>
            <w:tcW w:w="1276" w:type="pct"/>
            <w:vMerge w:val="restart"/>
            <w:vAlign w:val="center"/>
          </w:tcPr>
          <w:p w:rsidR="00FA1F4E" w:rsidRDefault="003B2CFF">
            <w:pPr>
              <w:autoSpaceDE w:val="0"/>
              <w:autoSpaceDN w:val="0"/>
              <w:adjustRightInd w:val="0"/>
              <w:ind w:firstLine="0"/>
              <w:jc w:val="center"/>
              <w:rPr>
                <w:rFonts w:cs="Times New Roman"/>
                <w:sz w:val="22"/>
              </w:rPr>
            </w:pPr>
            <w:r>
              <w:rPr>
                <w:rFonts w:cs="Times New Roman"/>
                <w:sz w:val="22"/>
              </w:rPr>
              <w:t>Объект газификации</w:t>
            </w:r>
          </w:p>
        </w:tc>
        <w:tc>
          <w:tcPr>
            <w:tcW w:w="1428" w:type="pct"/>
            <w:vMerge w:val="restart"/>
            <w:vAlign w:val="center"/>
          </w:tcPr>
          <w:p w:rsidR="00FA1F4E" w:rsidRDefault="003B2CFF">
            <w:pPr>
              <w:autoSpaceDE w:val="0"/>
              <w:autoSpaceDN w:val="0"/>
              <w:adjustRightInd w:val="0"/>
              <w:ind w:firstLine="0"/>
              <w:jc w:val="center"/>
              <w:rPr>
                <w:rFonts w:cs="Times New Roman"/>
                <w:sz w:val="22"/>
              </w:rPr>
            </w:pPr>
            <w:r>
              <w:rPr>
                <w:rFonts w:cs="Times New Roman"/>
                <w:sz w:val="22"/>
              </w:rPr>
              <w:t>Потребители</w:t>
            </w:r>
          </w:p>
        </w:tc>
        <w:tc>
          <w:tcPr>
            <w:tcW w:w="2296" w:type="pct"/>
            <w:gridSpan w:val="2"/>
            <w:vAlign w:val="center"/>
          </w:tcPr>
          <w:p w:rsidR="00FA1F4E" w:rsidRDefault="003B2CFF">
            <w:pPr>
              <w:autoSpaceDE w:val="0"/>
              <w:autoSpaceDN w:val="0"/>
              <w:adjustRightInd w:val="0"/>
              <w:ind w:firstLine="0"/>
              <w:jc w:val="center"/>
              <w:rPr>
                <w:rFonts w:cs="Times New Roman"/>
                <w:sz w:val="22"/>
              </w:rPr>
            </w:pPr>
            <w:r>
              <w:rPr>
                <w:rFonts w:cs="Times New Roman"/>
                <w:sz w:val="22"/>
              </w:rPr>
              <w:t>Расход сетевого природного газа, тыс. м</w:t>
            </w:r>
            <w:r>
              <w:rPr>
                <w:rFonts w:cs="Times New Roman"/>
                <w:sz w:val="22"/>
                <w:vertAlign w:val="superscript"/>
              </w:rPr>
              <w:t>3</w:t>
            </w:r>
            <w:r>
              <w:rPr>
                <w:rFonts w:cs="Times New Roman"/>
                <w:sz w:val="22"/>
              </w:rPr>
              <w:t xml:space="preserve"> в год</w:t>
            </w:r>
          </w:p>
        </w:tc>
      </w:tr>
      <w:tr w:rsidR="00FA1F4E" w:rsidTr="00C874DA">
        <w:trPr>
          <w:trHeight w:val="351"/>
          <w:tblHeader/>
        </w:trPr>
        <w:tc>
          <w:tcPr>
            <w:tcW w:w="1276" w:type="pct"/>
            <w:vMerge/>
            <w:vAlign w:val="center"/>
          </w:tcPr>
          <w:p w:rsidR="00FA1F4E" w:rsidRDefault="00FA1F4E">
            <w:pPr>
              <w:autoSpaceDE w:val="0"/>
              <w:autoSpaceDN w:val="0"/>
              <w:adjustRightInd w:val="0"/>
              <w:ind w:firstLine="0"/>
              <w:jc w:val="center"/>
              <w:rPr>
                <w:rFonts w:cs="Times New Roman"/>
                <w:sz w:val="22"/>
              </w:rPr>
            </w:pPr>
          </w:p>
        </w:tc>
        <w:tc>
          <w:tcPr>
            <w:tcW w:w="1428" w:type="pct"/>
            <w:vMerge/>
            <w:vAlign w:val="center"/>
          </w:tcPr>
          <w:p w:rsidR="00FA1F4E" w:rsidRDefault="00FA1F4E">
            <w:pPr>
              <w:autoSpaceDE w:val="0"/>
              <w:autoSpaceDN w:val="0"/>
              <w:adjustRightInd w:val="0"/>
              <w:ind w:firstLine="0"/>
              <w:jc w:val="center"/>
              <w:rPr>
                <w:rFonts w:cs="Times New Roman"/>
                <w:sz w:val="22"/>
              </w:rPr>
            </w:pP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Существующее положение</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 xml:space="preserve">Расчетный срок </w:t>
            </w:r>
          </w:p>
        </w:tc>
      </w:tr>
      <w:tr w:rsidR="00FA1F4E">
        <w:trPr>
          <w:trHeight w:val="228"/>
        </w:trPr>
        <w:tc>
          <w:tcPr>
            <w:tcW w:w="1276" w:type="pct"/>
            <w:vMerge w:val="restart"/>
          </w:tcPr>
          <w:p w:rsidR="00FA1F4E" w:rsidRDefault="003B2CFF">
            <w:pPr>
              <w:autoSpaceDE w:val="0"/>
              <w:autoSpaceDN w:val="0"/>
              <w:adjustRightInd w:val="0"/>
              <w:ind w:firstLine="0"/>
              <w:jc w:val="left"/>
              <w:rPr>
                <w:rFonts w:cs="Times New Roman"/>
                <w:sz w:val="22"/>
              </w:rPr>
            </w:pPr>
            <w:r>
              <w:rPr>
                <w:rFonts w:cs="Times New Roman"/>
                <w:sz w:val="22"/>
              </w:rPr>
              <w:t>Индивидуальные жилые дома</w:t>
            </w:r>
          </w:p>
        </w:tc>
        <w:tc>
          <w:tcPr>
            <w:tcW w:w="1428" w:type="pct"/>
          </w:tcPr>
          <w:p w:rsidR="00FA1F4E" w:rsidRDefault="003B2CFF">
            <w:pPr>
              <w:autoSpaceDE w:val="0"/>
              <w:autoSpaceDN w:val="0"/>
              <w:adjustRightInd w:val="0"/>
              <w:ind w:firstLine="0"/>
              <w:jc w:val="left"/>
              <w:rPr>
                <w:rFonts w:cs="Times New Roman"/>
                <w:sz w:val="22"/>
              </w:rPr>
            </w:pPr>
            <w:r>
              <w:rPr>
                <w:rFonts w:cs="Times New Roman"/>
                <w:sz w:val="22"/>
              </w:rPr>
              <w:t>Пищеприготовление</w:t>
            </w: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614,15</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1417,10</w:t>
            </w:r>
          </w:p>
        </w:tc>
      </w:tr>
      <w:tr w:rsidR="00FA1F4E">
        <w:trPr>
          <w:trHeight w:val="99"/>
        </w:trPr>
        <w:tc>
          <w:tcPr>
            <w:tcW w:w="1276" w:type="pct"/>
            <w:vMerge/>
          </w:tcPr>
          <w:p w:rsidR="00FA1F4E" w:rsidRDefault="00FA1F4E">
            <w:pPr>
              <w:autoSpaceDE w:val="0"/>
              <w:autoSpaceDN w:val="0"/>
              <w:adjustRightInd w:val="0"/>
              <w:ind w:firstLine="0"/>
              <w:jc w:val="left"/>
              <w:rPr>
                <w:rFonts w:cs="Times New Roman"/>
                <w:sz w:val="22"/>
              </w:rPr>
            </w:pPr>
          </w:p>
        </w:tc>
        <w:tc>
          <w:tcPr>
            <w:tcW w:w="1428" w:type="pct"/>
          </w:tcPr>
          <w:p w:rsidR="00FA1F4E" w:rsidRDefault="003B2CFF">
            <w:pPr>
              <w:autoSpaceDE w:val="0"/>
              <w:autoSpaceDN w:val="0"/>
              <w:adjustRightInd w:val="0"/>
              <w:ind w:firstLine="0"/>
              <w:jc w:val="left"/>
              <w:rPr>
                <w:rFonts w:cs="Times New Roman"/>
                <w:sz w:val="22"/>
              </w:rPr>
            </w:pPr>
            <w:r>
              <w:rPr>
                <w:rFonts w:cs="Times New Roman"/>
                <w:sz w:val="22"/>
              </w:rPr>
              <w:t>Индивидуальное отопление</w:t>
            </w: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1844,31</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3171,44</w:t>
            </w:r>
          </w:p>
        </w:tc>
      </w:tr>
      <w:tr w:rsidR="00FA1F4E">
        <w:trPr>
          <w:trHeight w:val="225"/>
        </w:trPr>
        <w:tc>
          <w:tcPr>
            <w:tcW w:w="1276" w:type="pct"/>
          </w:tcPr>
          <w:p w:rsidR="00FA1F4E" w:rsidRDefault="003B2CFF">
            <w:pPr>
              <w:autoSpaceDE w:val="0"/>
              <w:autoSpaceDN w:val="0"/>
              <w:adjustRightInd w:val="0"/>
              <w:ind w:firstLine="0"/>
              <w:jc w:val="left"/>
              <w:rPr>
                <w:rFonts w:cs="Times New Roman"/>
                <w:sz w:val="22"/>
              </w:rPr>
            </w:pPr>
            <w:r>
              <w:rPr>
                <w:rFonts w:cs="Times New Roman"/>
                <w:sz w:val="22"/>
              </w:rPr>
              <w:lastRenderedPageBreak/>
              <w:t>Многоквартирные жилые дома</w:t>
            </w:r>
          </w:p>
        </w:tc>
        <w:tc>
          <w:tcPr>
            <w:tcW w:w="1428" w:type="pct"/>
          </w:tcPr>
          <w:p w:rsidR="00FA1F4E" w:rsidRDefault="003B2CFF">
            <w:pPr>
              <w:autoSpaceDE w:val="0"/>
              <w:autoSpaceDN w:val="0"/>
              <w:adjustRightInd w:val="0"/>
              <w:ind w:firstLine="0"/>
              <w:jc w:val="left"/>
              <w:rPr>
                <w:rFonts w:cs="Times New Roman"/>
                <w:sz w:val="22"/>
              </w:rPr>
            </w:pPr>
            <w:r>
              <w:rPr>
                <w:rFonts w:cs="Times New Roman"/>
                <w:sz w:val="22"/>
              </w:rPr>
              <w:t>Пищеприготовление</w:t>
            </w: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232,27</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247,46</w:t>
            </w:r>
          </w:p>
        </w:tc>
      </w:tr>
      <w:tr w:rsidR="00FA1F4E">
        <w:trPr>
          <w:trHeight w:val="225"/>
        </w:trPr>
        <w:tc>
          <w:tcPr>
            <w:tcW w:w="2704" w:type="pct"/>
            <w:gridSpan w:val="2"/>
            <w:vAlign w:val="center"/>
          </w:tcPr>
          <w:p w:rsidR="00FA1F4E" w:rsidRDefault="003B2CFF">
            <w:pPr>
              <w:autoSpaceDE w:val="0"/>
              <w:autoSpaceDN w:val="0"/>
              <w:adjustRightInd w:val="0"/>
              <w:ind w:firstLine="0"/>
              <w:jc w:val="center"/>
              <w:rPr>
                <w:rFonts w:cs="Times New Roman"/>
                <w:sz w:val="22"/>
              </w:rPr>
            </w:pPr>
            <w:r>
              <w:rPr>
                <w:rFonts w:cs="Times New Roman"/>
                <w:sz w:val="22"/>
              </w:rPr>
              <w:t>Всего по населению:</w:t>
            </w: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2690,73</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4836,0</w:t>
            </w:r>
          </w:p>
        </w:tc>
      </w:tr>
      <w:tr w:rsidR="00FA1F4E">
        <w:trPr>
          <w:trHeight w:val="225"/>
        </w:trPr>
        <w:tc>
          <w:tcPr>
            <w:tcW w:w="1276" w:type="pct"/>
          </w:tcPr>
          <w:p w:rsidR="00FA1F4E" w:rsidRDefault="003B2CFF">
            <w:pPr>
              <w:autoSpaceDE w:val="0"/>
              <w:autoSpaceDN w:val="0"/>
              <w:adjustRightInd w:val="0"/>
              <w:ind w:firstLine="0"/>
              <w:jc w:val="left"/>
              <w:rPr>
                <w:rFonts w:cs="Times New Roman"/>
                <w:sz w:val="22"/>
              </w:rPr>
            </w:pPr>
            <w:r>
              <w:rPr>
                <w:rFonts w:cs="Times New Roman"/>
                <w:sz w:val="22"/>
              </w:rPr>
              <w:t>Прочие потребители</w:t>
            </w:r>
          </w:p>
        </w:tc>
        <w:tc>
          <w:tcPr>
            <w:tcW w:w="1428" w:type="pct"/>
          </w:tcPr>
          <w:p w:rsidR="00FA1F4E" w:rsidRDefault="00FA1F4E">
            <w:pPr>
              <w:autoSpaceDE w:val="0"/>
              <w:autoSpaceDN w:val="0"/>
              <w:adjustRightInd w:val="0"/>
              <w:ind w:firstLine="0"/>
              <w:jc w:val="left"/>
              <w:rPr>
                <w:rFonts w:cs="Times New Roman"/>
                <w:sz w:val="22"/>
              </w:rPr>
            </w:pP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150,0</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300,0</w:t>
            </w:r>
          </w:p>
        </w:tc>
      </w:tr>
      <w:tr w:rsidR="00FA1F4E">
        <w:trPr>
          <w:trHeight w:val="352"/>
        </w:trPr>
        <w:tc>
          <w:tcPr>
            <w:tcW w:w="1276" w:type="pct"/>
          </w:tcPr>
          <w:p w:rsidR="00FA1F4E" w:rsidRDefault="003B2CFF">
            <w:pPr>
              <w:autoSpaceDE w:val="0"/>
              <w:autoSpaceDN w:val="0"/>
              <w:adjustRightInd w:val="0"/>
              <w:ind w:firstLine="0"/>
              <w:jc w:val="left"/>
              <w:rPr>
                <w:rFonts w:cs="Times New Roman"/>
                <w:sz w:val="22"/>
              </w:rPr>
            </w:pPr>
            <w:r>
              <w:rPr>
                <w:rFonts w:cs="Times New Roman"/>
                <w:sz w:val="22"/>
              </w:rPr>
              <w:t>Котельные</w:t>
            </w:r>
          </w:p>
        </w:tc>
        <w:tc>
          <w:tcPr>
            <w:tcW w:w="1428" w:type="pct"/>
          </w:tcPr>
          <w:p w:rsidR="00FA1F4E" w:rsidRDefault="003B2CFF">
            <w:pPr>
              <w:autoSpaceDE w:val="0"/>
              <w:autoSpaceDN w:val="0"/>
              <w:adjustRightInd w:val="0"/>
              <w:ind w:firstLine="0"/>
              <w:jc w:val="left"/>
              <w:rPr>
                <w:rFonts w:cs="Times New Roman"/>
                <w:sz w:val="22"/>
              </w:rPr>
            </w:pPr>
            <w:r>
              <w:rPr>
                <w:rFonts w:cs="Times New Roman"/>
                <w:sz w:val="22"/>
              </w:rPr>
              <w:t>Отопление многоквартирной жилой застройки, объектов социальной инфраструктуры</w:t>
            </w: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14561,69</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16000,0</w:t>
            </w:r>
          </w:p>
        </w:tc>
      </w:tr>
      <w:tr w:rsidR="00FA1F4E">
        <w:trPr>
          <w:trHeight w:val="99"/>
        </w:trPr>
        <w:tc>
          <w:tcPr>
            <w:tcW w:w="2704" w:type="pct"/>
            <w:gridSpan w:val="2"/>
            <w:vAlign w:val="center"/>
          </w:tcPr>
          <w:p w:rsidR="00FA1F4E" w:rsidRDefault="003B2CFF">
            <w:pPr>
              <w:autoSpaceDE w:val="0"/>
              <w:autoSpaceDN w:val="0"/>
              <w:adjustRightInd w:val="0"/>
              <w:ind w:firstLine="0"/>
              <w:jc w:val="center"/>
              <w:rPr>
                <w:rFonts w:cs="Times New Roman"/>
                <w:sz w:val="22"/>
              </w:rPr>
            </w:pPr>
            <w:r>
              <w:rPr>
                <w:rFonts w:cs="Times New Roman"/>
                <w:sz w:val="22"/>
              </w:rPr>
              <w:t>Всего:</w:t>
            </w:r>
          </w:p>
        </w:tc>
        <w:tc>
          <w:tcPr>
            <w:tcW w:w="1361" w:type="pct"/>
            <w:vAlign w:val="center"/>
          </w:tcPr>
          <w:p w:rsidR="00FA1F4E" w:rsidRDefault="003B2CFF">
            <w:pPr>
              <w:autoSpaceDE w:val="0"/>
              <w:autoSpaceDN w:val="0"/>
              <w:adjustRightInd w:val="0"/>
              <w:ind w:firstLine="0"/>
              <w:jc w:val="center"/>
              <w:rPr>
                <w:rFonts w:cs="Times New Roman"/>
                <w:sz w:val="22"/>
              </w:rPr>
            </w:pPr>
            <w:r>
              <w:rPr>
                <w:rFonts w:cs="Times New Roman"/>
                <w:sz w:val="22"/>
              </w:rPr>
              <w:t>17402,42</w:t>
            </w:r>
          </w:p>
        </w:tc>
        <w:tc>
          <w:tcPr>
            <w:tcW w:w="935" w:type="pct"/>
            <w:vAlign w:val="center"/>
          </w:tcPr>
          <w:p w:rsidR="00FA1F4E" w:rsidRDefault="003B2CFF">
            <w:pPr>
              <w:autoSpaceDE w:val="0"/>
              <w:autoSpaceDN w:val="0"/>
              <w:adjustRightInd w:val="0"/>
              <w:ind w:firstLine="0"/>
              <w:jc w:val="center"/>
              <w:rPr>
                <w:rFonts w:cs="Times New Roman"/>
                <w:sz w:val="22"/>
              </w:rPr>
            </w:pPr>
            <w:r>
              <w:rPr>
                <w:rFonts w:cs="Times New Roman"/>
                <w:sz w:val="22"/>
              </w:rPr>
              <w:t>21136,0</w:t>
            </w:r>
          </w:p>
        </w:tc>
      </w:tr>
    </w:tbl>
    <w:p w:rsidR="00FA1F4E" w:rsidRDefault="00FA1F4E"/>
    <w:p w:rsidR="00FA1F4E" w:rsidRDefault="003B2CFF">
      <w:pPr>
        <w:pStyle w:val="20"/>
      </w:pPr>
      <w:bookmarkStart w:id="28" w:name="_Toc106831762"/>
      <w:r>
        <w:t>7.5. Уточнение параметров планируемых объектов транспортной инфраструктуры</w:t>
      </w:r>
      <w:bookmarkEnd w:id="28"/>
    </w:p>
    <w:p w:rsidR="00FA1F4E" w:rsidRDefault="00FA1F4E"/>
    <w:p w:rsidR="00FA1F4E" w:rsidRDefault="003B2CFF">
      <w:r>
        <w:t>В соответствии с комплексной схемой организации дорожного движения на территории муниципального образования Лодейнопольское городское поселение Лодейнопольского муниципального района Ленинградской области, утвержденной постановлением администрации муниципального образования Лодейнопольский муниципальный район Ленинградской области от 28 октября 2019 года № 1131, сохраняется существующая система обслуживания населения общественным пассажирским транспортом.</w:t>
      </w:r>
    </w:p>
    <w:p w:rsidR="00FA1F4E" w:rsidRDefault="003B2CFF">
      <w:r>
        <w:t>Специализированные дорожки для велосипедного движения не предусмотрены в связи с отсутствием технической возможности. Движение велосипедистов осуществляется в соответствии с требованиями правил дорожного движения по дорогам общего пользования.</w:t>
      </w:r>
    </w:p>
    <w:p w:rsidR="00FA1F4E" w:rsidRDefault="003B2CFF">
      <w:r>
        <w:t>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сведения о планируемых объектах улично-дорожной сети сохраняются без изменений согласно действующему генеральному плану.</w:t>
      </w:r>
    </w:p>
    <w:p w:rsidR="00FA1F4E" w:rsidRDefault="003B2CFF">
      <w:r>
        <w:t>При строительстве и реконструкции объектов улично-дорожной сети города Лодейное Поле необходимо учитывать основные расчетные параметры улично-дорожной сети городского населенного пункта в соответствии с пунктом 2.3.12 местных нормативов градостроительного проектирования (таблица 16).</w:t>
      </w:r>
    </w:p>
    <w:p w:rsidR="00FA1F4E" w:rsidRDefault="00FA1F4E">
      <w:pPr>
        <w:ind w:firstLine="0"/>
      </w:pPr>
    </w:p>
    <w:p w:rsidR="00FA1F4E" w:rsidRDefault="003B2CFF">
      <w:pPr>
        <w:ind w:firstLine="0"/>
        <w:jc w:val="center"/>
      </w:pPr>
      <w:r>
        <w:t>Таблица 16. Основные расчетные параметры улично-дорожной сети городского населенного пункта в соответствии с пунктом 2.3.12 местных нормативов градостроительного проектирования</w:t>
      </w:r>
    </w:p>
    <w:tbl>
      <w:tblPr>
        <w:tblStyle w:val="affc"/>
        <w:tblW w:w="5000" w:type="pct"/>
        <w:tblLook w:val="04A0" w:firstRow="1" w:lastRow="0" w:firstColumn="1" w:lastColumn="0" w:noHBand="0" w:noVBand="1"/>
      </w:tblPr>
      <w:tblGrid>
        <w:gridCol w:w="4219"/>
        <w:gridCol w:w="1701"/>
        <w:gridCol w:w="1790"/>
        <w:gridCol w:w="1392"/>
        <w:gridCol w:w="1319"/>
      </w:tblGrid>
      <w:tr w:rsidR="00FA1F4E">
        <w:trPr>
          <w:tblHeader/>
        </w:trPr>
        <w:tc>
          <w:tcPr>
            <w:tcW w:w="2024" w:type="pct"/>
          </w:tcPr>
          <w:p w:rsidR="00FA1F4E" w:rsidRDefault="003B2CFF">
            <w:pPr>
              <w:pStyle w:val="ConsPlusNormal"/>
              <w:jc w:val="center"/>
              <w:rPr>
                <w:sz w:val="22"/>
                <w:szCs w:val="22"/>
              </w:rPr>
            </w:pPr>
            <w:r>
              <w:rPr>
                <w:sz w:val="22"/>
                <w:szCs w:val="22"/>
              </w:rPr>
              <w:t>Категория дорог и улиц</w:t>
            </w:r>
          </w:p>
        </w:tc>
        <w:tc>
          <w:tcPr>
            <w:tcW w:w="816" w:type="pct"/>
          </w:tcPr>
          <w:p w:rsidR="00FA1F4E" w:rsidRDefault="003B2CFF">
            <w:pPr>
              <w:pStyle w:val="ConsPlusNormal"/>
              <w:jc w:val="center"/>
              <w:rPr>
                <w:sz w:val="22"/>
                <w:szCs w:val="22"/>
              </w:rPr>
            </w:pPr>
            <w:r>
              <w:rPr>
                <w:sz w:val="22"/>
                <w:szCs w:val="22"/>
              </w:rPr>
              <w:t>Расчетная скорость движения, км/ч</w:t>
            </w:r>
          </w:p>
        </w:tc>
        <w:tc>
          <w:tcPr>
            <w:tcW w:w="859" w:type="pct"/>
          </w:tcPr>
          <w:p w:rsidR="00FA1F4E" w:rsidRDefault="003B2CFF">
            <w:pPr>
              <w:pStyle w:val="ConsPlusNormal"/>
              <w:jc w:val="center"/>
              <w:rPr>
                <w:sz w:val="22"/>
                <w:szCs w:val="22"/>
              </w:rPr>
            </w:pPr>
            <w:r>
              <w:rPr>
                <w:sz w:val="22"/>
                <w:szCs w:val="22"/>
              </w:rPr>
              <w:t>Ширина в красных линиях, м</w:t>
            </w:r>
          </w:p>
        </w:tc>
        <w:tc>
          <w:tcPr>
            <w:tcW w:w="668" w:type="pct"/>
          </w:tcPr>
          <w:p w:rsidR="00FA1F4E" w:rsidRDefault="003B2CFF">
            <w:pPr>
              <w:pStyle w:val="ConsPlusNormal"/>
              <w:jc w:val="center"/>
              <w:rPr>
                <w:sz w:val="22"/>
                <w:szCs w:val="22"/>
              </w:rPr>
            </w:pPr>
            <w:r>
              <w:rPr>
                <w:sz w:val="22"/>
                <w:szCs w:val="22"/>
              </w:rPr>
              <w:t>Ширина полосы движения, м</w:t>
            </w:r>
          </w:p>
        </w:tc>
        <w:tc>
          <w:tcPr>
            <w:tcW w:w="633" w:type="pct"/>
          </w:tcPr>
          <w:p w:rsidR="00FA1F4E" w:rsidRDefault="003B2CFF">
            <w:pPr>
              <w:pStyle w:val="ConsPlusNormal"/>
              <w:jc w:val="center"/>
              <w:rPr>
                <w:sz w:val="22"/>
                <w:szCs w:val="22"/>
              </w:rPr>
            </w:pPr>
            <w:r>
              <w:rPr>
                <w:sz w:val="22"/>
                <w:szCs w:val="22"/>
              </w:rPr>
              <w:t>Число полос движения</w:t>
            </w:r>
          </w:p>
        </w:tc>
      </w:tr>
      <w:tr w:rsidR="00FA1F4E">
        <w:tc>
          <w:tcPr>
            <w:tcW w:w="5000" w:type="pct"/>
            <w:gridSpan w:val="5"/>
          </w:tcPr>
          <w:p w:rsidR="00FA1F4E" w:rsidRDefault="003B2CFF">
            <w:pPr>
              <w:pStyle w:val="ConsPlusNormal"/>
              <w:rPr>
                <w:sz w:val="22"/>
                <w:szCs w:val="22"/>
              </w:rPr>
            </w:pPr>
            <w:r>
              <w:rPr>
                <w:b/>
                <w:sz w:val="22"/>
                <w:szCs w:val="22"/>
              </w:rPr>
              <w:t>Магистральные дороги:</w:t>
            </w:r>
          </w:p>
        </w:tc>
      </w:tr>
      <w:tr w:rsidR="00FA1F4E">
        <w:tc>
          <w:tcPr>
            <w:tcW w:w="2024" w:type="pct"/>
          </w:tcPr>
          <w:p w:rsidR="00FA1F4E" w:rsidRDefault="003B2CFF">
            <w:pPr>
              <w:pStyle w:val="ConsPlusNormal"/>
              <w:rPr>
                <w:sz w:val="22"/>
                <w:szCs w:val="22"/>
              </w:rPr>
            </w:pPr>
            <w:r>
              <w:rPr>
                <w:sz w:val="22"/>
                <w:szCs w:val="22"/>
              </w:rPr>
              <w:t>скоростного движения</w:t>
            </w:r>
          </w:p>
        </w:tc>
        <w:tc>
          <w:tcPr>
            <w:tcW w:w="816" w:type="pct"/>
          </w:tcPr>
          <w:p w:rsidR="00FA1F4E" w:rsidRDefault="003B2CFF">
            <w:pPr>
              <w:pStyle w:val="ConsPlusNormal"/>
              <w:jc w:val="center"/>
              <w:rPr>
                <w:sz w:val="22"/>
                <w:szCs w:val="22"/>
              </w:rPr>
            </w:pPr>
            <w:r>
              <w:rPr>
                <w:sz w:val="22"/>
                <w:szCs w:val="22"/>
              </w:rPr>
              <w:t>120</w:t>
            </w:r>
          </w:p>
        </w:tc>
        <w:tc>
          <w:tcPr>
            <w:tcW w:w="859" w:type="pct"/>
          </w:tcPr>
          <w:p w:rsidR="00FA1F4E" w:rsidRDefault="003B2CFF">
            <w:pPr>
              <w:pStyle w:val="ConsPlusNormal"/>
              <w:jc w:val="center"/>
              <w:rPr>
                <w:sz w:val="22"/>
                <w:szCs w:val="22"/>
              </w:rPr>
            </w:pPr>
            <w:r>
              <w:rPr>
                <w:sz w:val="22"/>
                <w:szCs w:val="22"/>
              </w:rPr>
              <w:t>50 - 75</w:t>
            </w:r>
          </w:p>
        </w:tc>
        <w:tc>
          <w:tcPr>
            <w:tcW w:w="668" w:type="pct"/>
          </w:tcPr>
          <w:p w:rsidR="00FA1F4E" w:rsidRDefault="003B2CFF">
            <w:pPr>
              <w:pStyle w:val="ConsPlusNormal"/>
              <w:jc w:val="center"/>
              <w:rPr>
                <w:sz w:val="22"/>
                <w:szCs w:val="22"/>
              </w:rPr>
            </w:pPr>
            <w:r>
              <w:rPr>
                <w:sz w:val="22"/>
                <w:szCs w:val="22"/>
              </w:rPr>
              <w:t>3,75</w:t>
            </w:r>
          </w:p>
        </w:tc>
        <w:tc>
          <w:tcPr>
            <w:tcW w:w="633" w:type="pct"/>
          </w:tcPr>
          <w:p w:rsidR="00FA1F4E" w:rsidRDefault="003B2CFF">
            <w:pPr>
              <w:pStyle w:val="ConsPlusNormal"/>
              <w:jc w:val="center"/>
              <w:rPr>
                <w:sz w:val="22"/>
                <w:szCs w:val="22"/>
              </w:rPr>
            </w:pPr>
            <w:r>
              <w:rPr>
                <w:sz w:val="22"/>
                <w:szCs w:val="22"/>
              </w:rPr>
              <w:t>4 - 8</w:t>
            </w:r>
          </w:p>
        </w:tc>
      </w:tr>
      <w:tr w:rsidR="00FA1F4E">
        <w:tc>
          <w:tcPr>
            <w:tcW w:w="2024" w:type="pct"/>
          </w:tcPr>
          <w:p w:rsidR="00FA1F4E" w:rsidRDefault="003B2CFF">
            <w:pPr>
              <w:pStyle w:val="ConsPlusNormal"/>
              <w:rPr>
                <w:sz w:val="22"/>
                <w:szCs w:val="22"/>
              </w:rPr>
            </w:pPr>
            <w:r>
              <w:rPr>
                <w:sz w:val="22"/>
                <w:szCs w:val="22"/>
              </w:rPr>
              <w:t>регулируемого движения</w:t>
            </w:r>
          </w:p>
        </w:tc>
        <w:tc>
          <w:tcPr>
            <w:tcW w:w="816" w:type="pct"/>
          </w:tcPr>
          <w:p w:rsidR="00FA1F4E" w:rsidRDefault="003B2CFF">
            <w:pPr>
              <w:pStyle w:val="ConsPlusNormal"/>
              <w:jc w:val="center"/>
              <w:rPr>
                <w:sz w:val="22"/>
                <w:szCs w:val="22"/>
              </w:rPr>
            </w:pPr>
            <w:r>
              <w:rPr>
                <w:sz w:val="22"/>
                <w:szCs w:val="22"/>
              </w:rPr>
              <w:t>80</w:t>
            </w:r>
          </w:p>
        </w:tc>
        <w:tc>
          <w:tcPr>
            <w:tcW w:w="859" w:type="pct"/>
          </w:tcPr>
          <w:p w:rsidR="00FA1F4E" w:rsidRDefault="003B2CFF">
            <w:pPr>
              <w:pStyle w:val="ConsPlusNormal"/>
              <w:jc w:val="center"/>
              <w:rPr>
                <w:sz w:val="22"/>
                <w:szCs w:val="22"/>
              </w:rPr>
            </w:pPr>
            <w:r>
              <w:rPr>
                <w:sz w:val="22"/>
                <w:szCs w:val="22"/>
              </w:rPr>
              <w:t>40 - 65</w:t>
            </w:r>
          </w:p>
        </w:tc>
        <w:tc>
          <w:tcPr>
            <w:tcW w:w="668" w:type="pct"/>
          </w:tcPr>
          <w:p w:rsidR="00FA1F4E" w:rsidRDefault="003B2CFF">
            <w:pPr>
              <w:pStyle w:val="ConsPlusNormal"/>
              <w:jc w:val="center"/>
              <w:rPr>
                <w:sz w:val="22"/>
                <w:szCs w:val="22"/>
              </w:rPr>
            </w:pPr>
            <w:r>
              <w:rPr>
                <w:sz w:val="22"/>
                <w:szCs w:val="22"/>
              </w:rPr>
              <w:t>3,50</w:t>
            </w:r>
          </w:p>
        </w:tc>
        <w:tc>
          <w:tcPr>
            <w:tcW w:w="633" w:type="pct"/>
          </w:tcPr>
          <w:p w:rsidR="00FA1F4E" w:rsidRDefault="003B2CFF">
            <w:pPr>
              <w:pStyle w:val="ConsPlusNormal"/>
              <w:jc w:val="center"/>
              <w:rPr>
                <w:sz w:val="22"/>
                <w:szCs w:val="22"/>
              </w:rPr>
            </w:pPr>
            <w:r>
              <w:rPr>
                <w:sz w:val="22"/>
                <w:szCs w:val="22"/>
              </w:rPr>
              <w:t>2 - 6</w:t>
            </w:r>
          </w:p>
        </w:tc>
      </w:tr>
      <w:tr w:rsidR="00FA1F4E">
        <w:tc>
          <w:tcPr>
            <w:tcW w:w="5000" w:type="pct"/>
            <w:gridSpan w:val="5"/>
          </w:tcPr>
          <w:p w:rsidR="00FA1F4E" w:rsidRDefault="003B2CFF">
            <w:pPr>
              <w:pStyle w:val="ConsPlusNormal"/>
              <w:rPr>
                <w:sz w:val="22"/>
                <w:szCs w:val="22"/>
              </w:rPr>
            </w:pPr>
            <w:r>
              <w:rPr>
                <w:b/>
                <w:sz w:val="22"/>
                <w:szCs w:val="22"/>
              </w:rPr>
              <w:t>Магистральные улицы:</w:t>
            </w:r>
          </w:p>
        </w:tc>
      </w:tr>
      <w:tr w:rsidR="00FA1F4E">
        <w:tc>
          <w:tcPr>
            <w:tcW w:w="5000" w:type="pct"/>
            <w:gridSpan w:val="5"/>
          </w:tcPr>
          <w:p w:rsidR="00FA1F4E" w:rsidRDefault="003B2CFF">
            <w:pPr>
              <w:pStyle w:val="ConsPlusNormal"/>
              <w:rPr>
                <w:sz w:val="22"/>
                <w:szCs w:val="22"/>
              </w:rPr>
            </w:pPr>
            <w:r>
              <w:rPr>
                <w:b/>
                <w:sz w:val="22"/>
                <w:szCs w:val="22"/>
              </w:rPr>
              <w:t>общегородского значения:</w:t>
            </w:r>
          </w:p>
        </w:tc>
      </w:tr>
      <w:tr w:rsidR="00FA1F4E">
        <w:tc>
          <w:tcPr>
            <w:tcW w:w="2024" w:type="pct"/>
          </w:tcPr>
          <w:p w:rsidR="00FA1F4E" w:rsidRDefault="003B2CFF">
            <w:pPr>
              <w:pStyle w:val="ConsPlusNormal"/>
              <w:rPr>
                <w:sz w:val="22"/>
                <w:szCs w:val="22"/>
              </w:rPr>
            </w:pPr>
            <w:r>
              <w:rPr>
                <w:sz w:val="22"/>
                <w:szCs w:val="22"/>
              </w:rPr>
              <w:t>непрерывного движения</w:t>
            </w:r>
          </w:p>
        </w:tc>
        <w:tc>
          <w:tcPr>
            <w:tcW w:w="816" w:type="pct"/>
          </w:tcPr>
          <w:p w:rsidR="00FA1F4E" w:rsidRDefault="003B2CFF">
            <w:pPr>
              <w:pStyle w:val="ConsPlusNormal"/>
              <w:jc w:val="center"/>
              <w:rPr>
                <w:sz w:val="22"/>
                <w:szCs w:val="22"/>
              </w:rPr>
            </w:pPr>
            <w:r>
              <w:rPr>
                <w:sz w:val="22"/>
                <w:szCs w:val="22"/>
              </w:rPr>
              <w:t>100</w:t>
            </w:r>
          </w:p>
        </w:tc>
        <w:tc>
          <w:tcPr>
            <w:tcW w:w="859" w:type="pct"/>
          </w:tcPr>
          <w:p w:rsidR="00FA1F4E" w:rsidRDefault="003B2CFF">
            <w:pPr>
              <w:pStyle w:val="ConsPlusNormal"/>
              <w:jc w:val="center"/>
              <w:rPr>
                <w:sz w:val="22"/>
                <w:szCs w:val="22"/>
              </w:rPr>
            </w:pPr>
            <w:r>
              <w:rPr>
                <w:sz w:val="22"/>
                <w:szCs w:val="22"/>
              </w:rPr>
              <w:t>40 - 80</w:t>
            </w:r>
          </w:p>
        </w:tc>
        <w:tc>
          <w:tcPr>
            <w:tcW w:w="668" w:type="pct"/>
          </w:tcPr>
          <w:p w:rsidR="00FA1F4E" w:rsidRDefault="003B2CFF">
            <w:pPr>
              <w:pStyle w:val="ConsPlusNormal"/>
              <w:jc w:val="center"/>
              <w:rPr>
                <w:sz w:val="22"/>
                <w:szCs w:val="22"/>
              </w:rPr>
            </w:pPr>
            <w:r>
              <w:rPr>
                <w:sz w:val="22"/>
                <w:szCs w:val="22"/>
              </w:rPr>
              <w:t>3,75</w:t>
            </w:r>
          </w:p>
        </w:tc>
        <w:tc>
          <w:tcPr>
            <w:tcW w:w="633" w:type="pct"/>
          </w:tcPr>
          <w:p w:rsidR="00FA1F4E" w:rsidRDefault="003B2CFF">
            <w:pPr>
              <w:pStyle w:val="ConsPlusNormal"/>
              <w:jc w:val="center"/>
              <w:rPr>
                <w:sz w:val="22"/>
                <w:szCs w:val="22"/>
              </w:rPr>
            </w:pPr>
            <w:r>
              <w:rPr>
                <w:sz w:val="22"/>
                <w:szCs w:val="22"/>
              </w:rPr>
              <w:t>4 - 8</w:t>
            </w:r>
          </w:p>
        </w:tc>
      </w:tr>
      <w:tr w:rsidR="00FA1F4E">
        <w:tc>
          <w:tcPr>
            <w:tcW w:w="2024" w:type="pct"/>
          </w:tcPr>
          <w:p w:rsidR="00FA1F4E" w:rsidRDefault="003B2CFF">
            <w:pPr>
              <w:pStyle w:val="ConsPlusNormal"/>
              <w:rPr>
                <w:sz w:val="22"/>
                <w:szCs w:val="22"/>
              </w:rPr>
            </w:pPr>
            <w:r>
              <w:rPr>
                <w:sz w:val="22"/>
                <w:szCs w:val="22"/>
              </w:rPr>
              <w:t>регулируемого движения</w:t>
            </w:r>
          </w:p>
        </w:tc>
        <w:tc>
          <w:tcPr>
            <w:tcW w:w="816" w:type="pct"/>
          </w:tcPr>
          <w:p w:rsidR="00FA1F4E" w:rsidRDefault="003B2CFF">
            <w:pPr>
              <w:pStyle w:val="ConsPlusNormal"/>
              <w:jc w:val="center"/>
              <w:rPr>
                <w:sz w:val="22"/>
                <w:szCs w:val="22"/>
              </w:rPr>
            </w:pPr>
            <w:r>
              <w:rPr>
                <w:sz w:val="22"/>
                <w:szCs w:val="22"/>
              </w:rPr>
              <w:t>80</w:t>
            </w:r>
          </w:p>
        </w:tc>
        <w:tc>
          <w:tcPr>
            <w:tcW w:w="859" w:type="pct"/>
          </w:tcPr>
          <w:p w:rsidR="00FA1F4E" w:rsidRDefault="003B2CFF">
            <w:pPr>
              <w:pStyle w:val="ConsPlusNormal"/>
              <w:jc w:val="center"/>
              <w:rPr>
                <w:sz w:val="22"/>
                <w:szCs w:val="22"/>
              </w:rPr>
            </w:pPr>
            <w:r>
              <w:rPr>
                <w:sz w:val="22"/>
                <w:szCs w:val="22"/>
              </w:rPr>
              <w:t>37 - 75</w:t>
            </w:r>
          </w:p>
        </w:tc>
        <w:tc>
          <w:tcPr>
            <w:tcW w:w="668" w:type="pct"/>
          </w:tcPr>
          <w:p w:rsidR="00FA1F4E" w:rsidRDefault="003B2CFF">
            <w:pPr>
              <w:pStyle w:val="ConsPlusNormal"/>
              <w:jc w:val="center"/>
              <w:rPr>
                <w:sz w:val="22"/>
                <w:szCs w:val="22"/>
              </w:rPr>
            </w:pPr>
            <w:r>
              <w:rPr>
                <w:sz w:val="22"/>
                <w:szCs w:val="22"/>
              </w:rPr>
              <w:t>3,50</w:t>
            </w:r>
          </w:p>
        </w:tc>
        <w:tc>
          <w:tcPr>
            <w:tcW w:w="633" w:type="pct"/>
          </w:tcPr>
          <w:p w:rsidR="00FA1F4E" w:rsidRDefault="003B2CFF">
            <w:pPr>
              <w:pStyle w:val="ConsPlusNormal"/>
              <w:jc w:val="center"/>
              <w:rPr>
                <w:sz w:val="22"/>
                <w:szCs w:val="22"/>
              </w:rPr>
            </w:pPr>
            <w:r>
              <w:rPr>
                <w:sz w:val="22"/>
                <w:szCs w:val="22"/>
              </w:rPr>
              <w:t>4 - 8</w:t>
            </w:r>
          </w:p>
        </w:tc>
      </w:tr>
      <w:tr w:rsidR="00FA1F4E">
        <w:tc>
          <w:tcPr>
            <w:tcW w:w="5000" w:type="pct"/>
            <w:gridSpan w:val="5"/>
          </w:tcPr>
          <w:p w:rsidR="00FA1F4E" w:rsidRDefault="003B2CFF">
            <w:pPr>
              <w:pStyle w:val="ConsPlusNormal"/>
              <w:rPr>
                <w:sz w:val="22"/>
                <w:szCs w:val="22"/>
              </w:rPr>
            </w:pPr>
            <w:r>
              <w:rPr>
                <w:b/>
                <w:sz w:val="22"/>
                <w:szCs w:val="22"/>
              </w:rPr>
              <w:t>районного значения:</w:t>
            </w:r>
          </w:p>
        </w:tc>
      </w:tr>
      <w:tr w:rsidR="00FA1F4E">
        <w:tc>
          <w:tcPr>
            <w:tcW w:w="2024" w:type="pct"/>
          </w:tcPr>
          <w:p w:rsidR="00FA1F4E" w:rsidRDefault="003B2CFF">
            <w:pPr>
              <w:pStyle w:val="ConsPlusNormal"/>
              <w:rPr>
                <w:sz w:val="22"/>
                <w:szCs w:val="22"/>
              </w:rPr>
            </w:pPr>
            <w:r>
              <w:rPr>
                <w:sz w:val="22"/>
                <w:szCs w:val="22"/>
              </w:rPr>
              <w:t>транспортно-пешеходные</w:t>
            </w:r>
          </w:p>
        </w:tc>
        <w:tc>
          <w:tcPr>
            <w:tcW w:w="816" w:type="pct"/>
          </w:tcPr>
          <w:p w:rsidR="00FA1F4E" w:rsidRDefault="003B2CFF">
            <w:pPr>
              <w:pStyle w:val="ConsPlusNormal"/>
              <w:jc w:val="center"/>
              <w:rPr>
                <w:sz w:val="22"/>
                <w:szCs w:val="22"/>
              </w:rPr>
            </w:pPr>
            <w:r>
              <w:rPr>
                <w:sz w:val="22"/>
                <w:szCs w:val="22"/>
              </w:rPr>
              <w:t>70</w:t>
            </w:r>
          </w:p>
        </w:tc>
        <w:tc>
          <w:tcPr>
            <w:tcW w:w="859" w:type="pct"/>
          </w:tcPr>
          <w:p w:rsidR="00FA1F4E" w:rsidRDefault="003B2CFF">
            <w:pPr>
              <w:pStyle w:val="ConsPlusNormal"/>
              <w:jc w:val="center"/>
              <w:rPr>
                <w:sz w:val="22"/>
                <w:szCs w:val="22"/>
              </w:rPr>
            </w:pPr>
            <w:r>
              <w:rPr>
                <w:sz w:val="22"/>
                <w:szCs w:val="22"/>
              </w:rPr>
              <w:t>35 - 45</w:t>
            </w:r>
          </w:p>
        </w:tc>
        <w:tc>
          <w:tcPr>
            <w:tcW w:w="668" w:type="pct"/>
          </w:tcPr>
          <w:p w:rsidR="00FA1F4E" w:rsidRDefault="003B2CFF">
            <w:pPr>
              <w:pStyle w:val="ConsPlusNormal"/>
              <w:jc w:val="center"/>
              <w:rPr>
                <w:sz w:val="22"/>
                <w:szCs w:val="22"/>
              </w:rPr>
            </w:pPr>
            <w:r>
              <w:rPr>
                <w:sz w:val="22"/>
                <w:szCs w:val="22"/>
              </w:rPr>
              <w:t>3,50</w:t>
            </w:r>
          </w:p>
        </w:tc>
        <w:tc>
          <w:tcPr>
            <w:tcW w:w="633" w:type="pct"/>
          </w:tcPr>
          <w:p w:rsidR="00FA1F4E" w:rsidRDefault="003B2CFF">
            <w:pPr>
              <w:pStyle w:val="ConsPlusNormal"/>
              <w:jc w:val="center"/>
              <w:rPr>
                <w:sz w:val="22"/>
                <w:szCs w:val="22"/>
              </w:rPr>
            </w:pPr>
            <w:r>
              <w:rPr>
                <w:sz w:val="22"/>
                <w:szCs w:val="22"/>
              </w:rPr>
              <w:t>2 - 4</w:t>
            </w:r>
          </w:p>
        </w:tc>
      </w:tr>
      <w:tr w:rsidR="00FA1F4E">
        <w:tc>
          <w:tcPr>
            <w:tcW w:w="2024" w:type="pct"/>
          </w:tcPr>
          <w:p w:rsidR="00FA1F4E" w:rsidRDefault="003B2CFF">
            <w:pPr>
              <w:pStyle w:val="ConsPlusNormal"/>
              <w:rPr>
                <w:sz w:val="22"/>
                <w:szCs w:val="22"/>
              </w:rPr>
            </w:pPr>
            <w:r>
              <w:rPr>
                <w:sz w:val="22"/>
                <w:szCs w:val="22"/>
              </w:rPr>
              <w:t>пешеходно-транспортные</w:t>
            </w:r>
          </w:p>
        </w:tc>
        <w:tc>
          <w:tcPr>
            <w:tcW w:w="816" w:type="pct"/>
          </w:tcPr>
          <w:p w:rsidR="00FA1F4E" w:rsidRDefault="003B2CFF">
            <w:pPr>
              <w:pStyle w:val="ConsPlusNormal"/>
              <w:jc w:val="center"/>
              <w:rPr>
                <w:sz w:val="22"/>
                <w:szCs w:val="22"/>
              </w:rPr>
            </w:pPr>
            <w:r>
              <w:rPr>
                <w:sz w:val="22"/>
                <w:szCs w:val="22"/>
              </w:rPr>
              <w:t>50</w:t>
            </w:r>
          </w:p>
        </w:tc>
        <w:tc>
          <w:tcPr>
            <w:tcW w:w="859" w:type="pct"/>
          </w:tcPr>
          <w:p w:rsidR="00FA1F4E" w:rsidRDefault="003B2CFF">
            <w:pPr>
              <w:pStyle w:val="ConsPlusNormal"/>
              <w:jc w:val="center"/>
              <w:rPr>
                <w:sz w:val="22"/>
                <w:szCs w:val="22"/>
              </w:rPr>
            </w:pPr>
            <w:r>
              <w:rPr>
                <w:sz w:val="22"/>
                <w:szCs w:val="22"/>
              </w:rPr>
              <w:t>30 - 40</w:t>
            </w:r>
          </w:p>
        </w:tc>
        <w:tc>
          <w:tcPr>
            <w:tcW w:w="668" w:type="pct"/>
          </w:tcPr>
          <w:p w:rsidR="00FA1F4E" w:rsidRDefault="003B2CFF">
            <w:pPr>
              <w:pStyle w:val="ConsPlusNormal"/>
              <w:jc w:val="center"/>
              <w:rPr>
                <w:sz w:val="22"/>
                <w:szCs w:val="22"/>
              </w:rPr>
            </w:pPr>
            <w:r>
              <w:rPr>
                <w:sz w:val="22"/>
                <w:szCs w:val="22"/>
              </w:rPr>
              <w:t>4,00</w:t>
            </w:r>
          </w:p>
        </w:tc>
        <w:tc>
          <w:tcPr>
            <w:tcW w:w="633" w:type="pct"/>
          </w:tcPr>
          <w:p w:rsidR="00FA1F4E" w:rsidRDefault="003B2CFF">
            <w:pPr>
              <w:pStyle w:val="ConsPlusNormal"/>
              <w:jc w:val="center"/>
              <w:rPr>
                <w:sz w:val="22"/>
                <w:szCs w:val="22"/>
              </w:rPr>
            </w:pPr>
            <w:r>
              <w:rPr>
                <w:sz w:val="22"/>
                <w:szCs w:val="22"/>
              </w:rPr>
              <w:t>2</w:t>
            </w:r>
          </w:p>
        </w:tc>
      </w:tr>
      <w:tr w:rsidR="00FA1F4E">
        <w:tc>
          <w:tcPr>
            <w:tcW w:w="5000" w:type="pct"/>
            <w:gridSpan w:val="5"/>
          </w:tcPr>
          <w:p w:rsidR="00FA1F4E" w:rsidRDefault="003B2CFF">
            <w:pPr>
              <w:pStyle w:val="ConsPlusNormal"/>
              <w:rPr>
                <w:sz w:val="22"/>
                <w:szCs w:val="22"/>
              </w:rPr>
            </w:pPr>
            <w:r>
              <w:rPr>
                <w:b/>
                <w:sz w:val="22"/>
                <w:szCs w:val="22"/>
              </w:rPr>
              <w:t>Улицы и дороги местного значения:</w:t>
            </w:r>
          </w:p>
        </w:tc>
      </w:tr>
      <w:tr w:rsidR="00FA1F4E">
        <w:tc>
          <w:tcPr>
            <w:tcW w:w="2024" w:type="pct"/>
          </w:tcPr>
          <w:p w:rsidR="00FA1F4E" w:rsidRDefault="003B2CFF">
            <w:pPr>
              <w:pStyle w:val="ConsPlusNormal"/>
              <w:rPr>
                <w:sz w:val="22"/>
                <w:szCs w:val="22"/>
              </w:rPr>
            </w:pPr>
            <w:r>
              <w:rPr>
                <w:sz w:val="22"/>
                <w:szCs w:val="22"/>
              </w:rPr>
              <w:t>улицы в жилой застройке</w:t>
            </w:r>
          </w:p>
        </w:tc>
        <w:tc>
          <w:tcPr>
            <w:tcW w:w="816" w:type="pct"/>
          </w:tcPr>
          <w:p w:rsidR="00FA1F4E" w:rsidRDefault="003B2CFF">
            <w:pPr>
              <w:pStyle w:val="ConsPlusNormal"/>
              <w:jc w:val="center"/>
              <w:rPr>
                <w:sz w:val="22"/>
                <w:szCs w:val="22"/>
              </w:rPr>
            </w:pPr>
            <w:r>
              <w:rPr>
                <w:sz w:val="22"/>
                <w:szCs w:val="22"/>
              </w:rPr>
              <w:t>40</w:t>
            </w:r>
          </w:p>
        </w:tc>
        <w:tc>
          <w:tcPr>
            <w:tcW w:w="859" w:type="pct"/>
          </w:tcPr>
          <w:p w:rsidR="00FA1F4E" w:rsidRDefault="003B2CFF">
            <w:pPr>
              <w:pStyle w:val="ConsPlusNormal"/>
              <w:jc w:val="center"/>
              <w:rPr>
                <w:sz w:val="22"/>
                <w:szCs w:val="22"/>
              </w:rPr>
            </w:pPr>
            <w:r>
              <w:rPr>
                <w:sz w:val="22"/>
                <w:szCs w:val="22"/>
              </w:rPr>
              <w:t>15 - 25</w:t>
            </w:r>
          </w:p>
        </w:tc>
        <w:tc>
          <w:tcPr>
            <w:tcW w:w="668" w:type="pct"/>
          </w:tcPr>
          <w:p w:rsidR="00FA1F4E" w:rsidRDefault="003B2CFF">
            <w:pPr>
              <w:pStyle w:val="ConsPlusNormal"/>
              <w:jc w:val="center"/>
              <w:rPr>
                <w:sz w:val="22"/>
                <w:szCs w:val="22"/>
              </w:rPr>
            </w:pPr>
            <w:r>
              <w:rPr>
                <w:sz w:val="22"/>
                <w:szCs w:val="22"/>
              </w:rPr>
              <w:t>3,00</w:t>
            </w:r>
          </w:p>
        </w:tc>
        <w:tc>
          <w:tcPr>
            <w:tcW w:w="633" w:type="pct"/>
          </w:tcPr>
          <w:p w:rsidR="00FA1F4E" w:rsidRDefault="003B2CFF">
            <w:pPr>
              <w:pStyle w:val="ConsPlusNormal"/>
              <w:jc w:val="center"/>
              <w:rPr>
                <w:sz w:val="22"/>
                <w:szCs w:val="22"/>
              </w:rPr>
            </w:pPr>
            <w:r>
              <w:rPr>
                <w:sz w:val="22"/>
                <w:szCs w:val="22"/>
              </w:rPr>
              <w:t>2 - 3*</w:t>
            </w:r>
          </w:p>
        </w:tc>
      </w:tr>
      <w:tr w:rsidR="00FA1F4E">
        <w:tc>
          <w:tcPr>
            <w:tcW w:w="2024" w:type="pct"/>
          </w:tcPr>
          <w:p w:rsidR="00FA1F4E" w:rsidRDefault="003B2CFF">
            <w:pPr>
              <w:pStyle w:val="ConsPlusNormal"/>
              <w:rPr>
                <w:sz w:val="22"/>
                <w:szCs w:val="22"/>
              </w:rPr>
            </w:pPr>
            <w:r>
              <w:rPr>
                <w:sz w:val="22"/>
                <w:szCs w:val="22"/>
              </w:rPr>
              <w:t>улицы и дороги в производственной зоне</w:t>
            </w:r>
          </w:p>
        </w:tc>
        <w:tc>
          <w:tcPr>
            <w:tcW w:w="816" w:type="pct"/>
          </w:tcPr>
          <w:p w:rsidR="00FA1F4E" w:rsidRDefault="003B2CFF">
            <w:pPr>
              <w:pStyle w:val="ConsPlusNormal"/>
              <w:jc w:val="center"/>
              <w:rPr>
                <w:sz w:val="22"/>
                <w:szCs w:val="22"/>
              </w:rPr>
            </w:pPr>
            <w:r>
              <w:rPr>
                <w:sz w:val="22"/>
                <w:szCs w:val="22"/>
              </w:rPr>
              <w:t>50</w:t>
            </w:r>
          </w:p>
        </w:tc>
        <w:tc>
          <w:tcPr>
            <w:tcW w:w="859" w:type="pct"/>
          </w:tcPr>
          <w:p w:rsidR="00FA1F4E" w:rsidRDefault="003B2CFF">
            <w:pPr>
              <w:pStyle w:val="ConsPlusNormal"/>
              <w:jc w:val="center"/>
              <w:rPr>
                <w:sz w:val="22"/>
                <w:szCs w:val="22"/>
              </w:rPr>
            </w:pPr>
            <w:r>
              <w:rPr>
                <w:sz w:val="22"/>
                <w:szCs w:val="22"/>
              </w:rPr>
              <w:t>15 - 25</w:t>
            </w:r>
          </w:p>
        </w:tc>
        <w:tc>
          <w:tcPr>
            <w:tcW w:w="668" w:type="pct"/>
          </w:tcPr>
          <w:p w:rsidR="00FA1F4E" w:rsidRDefault="003B2CFF">
            <w:pPr>
              <w:pStyle w:val="ConsPlusNormal"/>
              <w:jc w:val="center"/>
              <w:rPr>
                <w:sz w:val="22"/>
                <w:szCs w:val="22"/>
              </w:rPr>
            </w:pPr>
            <w:r>
              <w:rPr>
                <w:sz w:val="22"/>
                <w:szCs w:val="22"/>
              </w:rPr>
              <w:t>3,50</w:t>
            </w:r>
          </w:p>
        </w:tc>
        <w:tc>
          <w:tcPr>
            <w:tcW w:w="633" w:type="pct"/>
          </w:tcPr>
          <w:p w:rsidR="00FA1F4E" w:rsidRDefault="003B2CFF">
            <w:pPr>
              <w:pStyle w:val="ConsPlusNormal"/>
              <w:jc w:val="center"/>
              <w:rPr>
                <w:sz w:val="22"/>
                <w:szCs w:val="22"/>
              </w:rPr>
            </w:pPr>
            <w:r>
              <w:rPr>
                <w:sz w:val="22"/>
                <w:szCs w:val="22"/>
              </w:rPr>
              <w:t>2</w:t>
            </w:r>
          </w:p>
        </w:tc>
      </w:tr>
      <w:tr w:rsidR="00FA1F4E">
        <w:tc>
          <w:tcPr>
            <w:tcW w:w="2024" w:type="pct"/>
          </w:tcPr>
          <w:p w:rsidR="00FA1F4E" w:rsidRDefault="003B2CFF">
            <w:pPr>
              <w:pStyle w:val="ConsPlusNormal"/>
              <w:rPr>
                <w:sz w:val="22"/>
                <w:szCs w:val="22"/>
              </w:rPr>
            </w:pPr>
            <w:r>
              <w:rPr>
                <w:sz w:val="22"/>
                <w:szCs w:val="22"/>
              </w:rPr>
              <w:t>парковые дороги</w:t>
            </w:r>
          </w:p>
        </w:tc>
        <w:tc>
          <w:tcPr>
            <w:tcW w:w="816" w:type="pct"/>
          </w:tcPr>
          <w:p w:rsidR="00FA1F4E" w:rsidRDefault="003B2CFF">
            <w:pPr>
              <w:pStyle w:val="ConsPlusNormal"/>
              <w:jc w:val="center"/>
              <w:rPr>
                <w:sz w:val="22"/>
                <w:szCs w:val="22"/>
              </w:rPr>
            </w:pPr>
            <w:r>
              <w:rPr>
                <w:sz w:val="22"/>
                <w:szCs w:val="22"/>
              </w:rPr>
              <w:t>40</w:t>
            </w:r>
          </w:p>
        </w:tc>
        <w:tc>
          <w:tcPr>
            <w:tcW w:w="859" w:type="pct"/>
          </w:tcPr>
          <w:p w:rsidR="00FA1F4E" w:rsidRDefault="00FA1F4E">
            <w:pPr>
              <w:pStyle w:val="ConsPlusNormal"/>
              <w:jc w:val="center"/>
              <w:rPr>
                <w:sz w:val="22"/>
                <w:szCs w:val="22"/>
              </w:rPr>
            </w:pPr>
          </w:p>
        </w:tc>
        <w:tc>
          <w:tcPr>
            <w:tcW w:w="668" w:type="pct"/>
          </w:tcPr>
          <w:p w:rsidR="00FA1F4E" w:rsidRDefault="003B2CFF">
            <w:pPr>
              <w:pStyle w:val="ConsPlusNormal"/>
              <w:jc w:val="center"/>
              <w:rPr>
                <w:sz w:val="22"/>
                <w:szCs w:val="22"/>
              </w:rPr>
            </w:pPr>
            <w:r>
              <w:rPr>
                <w:sz w:val="22"/>
                <w:szCs w:val="22"/>
              </w:rPr>
              <w:t>3,00</w:t>
            </w:r>
          </w:p>
        </w:tc>
        <w:tc>
          <w:tcPr>
            <w:tcW w:w="633" w:type="pct"/>
          </w:tcPr>
          <w:p w:rsidR="00FA1F4E" w:rsidRDefault="003B2CFF">
            <w:pPr>
              <w:pStyle w:val="ConsPlusNormal"/>
              <w:jc w:val="center"/>
              <w:rPr>
                <w:sz w:val="22"/>
                <w:szCs w:val="22"/>
              </w:rPr>
            </w:pPr>
            <w:r>
              <w:rPr>
                <w:sz w:val="22"/>
                <w:szCs w:val="22"/>
              </w:rPr>
              <w:t>2</w:t>
            </w:r>
          </w:p>
        </w:tc>
      </w:tr>
      <w:tr w:rsidR="00FA1F4E">
        <w:tc>
          <w:tcPr>
            <w:tcW w:w="5000" w:type="pct"/>
            <w:gridSpan w:val="5"/>
          </w:tcPr>
          <w:p w:rsidR="00FA1F4E" w:rsidRDefault="003B2CFF">
            <w:pPr>
              <w:pStyle w:val="ConsPlusNormal"/>
              <w:rPr>
                <w:sz w:val="22"/>
                <w:szCs w:val="22"/>
              </w:rPr>
            </w:pPr>
            <w:r>
              <w:rPr>
                <w:sz w:val="22"/>
                <w:szCs w:val="22"/>
              </w:rPr>
              <w:t>Проезды:</w:t>
            </w:r>
          </w:p>
        </w:tc>
      </w:tr>
      <w:tr w:rsidR="00FA1F4E">
        <w:tc>
          <w:tcPr>
            <w:tcW w:w="2024" w:type="pct"/>
          </w:tcPr>
          <w:p w:rsidR="00FA1F4E" w:rsidRDefault="003B2CFF">
            <w:pPr>
              <w:pStyle w:val="ConsPlusNormal"/>
              <w:rPr>
                <w:sz w:val="22"/>
                <w:szCs w:val="22"/>
              </w:rPr>
            </w:pPr>
            <w:r>
              <w:rPr>
                <w:sz w:val="22"/>
                <w:szCs w:val="22"/>
              </w:rPr>
              <w:t>основные</w:t>
            </w:r>
          </w:p>
        </w:tc>
        <w:tc>
          <w:tcPr>
            <w:tcW w:w="816" w:type="pct"/>
          </w:tcPr>
          <w:p w:rsidR="00FA1F4E" w:rsidRDefault="003B2CFF">
            <w:pPr>
              <w:pStyle w:val="ConsPlusNormal"/>
              <w:jc w:val="center"/>
              <w:rPr>
                <w:sz w:val="22"/>
                <w:szCs w:val="22"/>
              </w:rPr>
            </w:pPr>
            <w:r>
              <w:rPr>
                <w:sz w:val="22"/>
                <w:szCs w:val="22"/>
              </w:rPr>
              <w:t>40</w:t>
            </w:r>
          </w:p>
        </w:tc>
        <w:tc>
          <w:tcPr>
            <w:tcW w:w="859" w:type="pct"/>
          </w:tcPr>
          <w:p w:rsidR="00FA1F4E" w:rsidRDefault="003B2CFF">
            <w:pPr>
              <w:pStyle w:val="ConsPlusNormal"/>
              <w:jc w:val="center"/>
              <w:rPr>
                <w:sz w:val="22"/>
                <w:szCs w:val="22"/>
              </w:rPr>
            </w:pPr>
            <w:r>
              <w:rPr>
                <w:sz w:val="22"/>
                <w:szCs w:val="22"/>
              </w:rPr>
              <w:t>10 - 11,5</w:t>
            </w:r>
          </w:p>
        </w:tc>
        <w:tc>
          <w:tcPr>
            <w:tcW w:w="668" w:type="pct"/>
          </w:tcPr>
          <w:p w:rsidR="00FA1F4E" w:rsidRDefault="003B2CFF">
            <w:pPr>
              <w:pStyle w:val="ConsPlusNormal"/>
              <w:jc w:val="center"/>
              <w:rPr>
                <w:sz w:val="22"/>
                <w:szCs w:val="22"/>
              </w:rPr>
            </w:pPr>
            <w:r>
              <w:rPr>
                <w:sz w:val="22"/>
                <w:szCs w:val="22"/>
              </w:rPr>
              <w:t>2,75</w:t>
            </w:r>
          </w:p>
        </w:tc>
        <w:tc>
          <w:tcPr>
            <w:tcW w:w="633" w:type="pct"/>
          </w:tcPr>
          <w:p w:rsidR="00FA1F4E" w:rsidRDefault="003B2CFF">
            <w:pPr>
              <w:pStyle w:val="ConsPlusNormal"/>
              <w:jc w:val="center"/>
              <w:rPr>
                <w:sz w:val="22"/>
                <w:szCs w:val="22"/>
              </w:rPr>
            </w:pPr>
            <w:r>
              <w:rPr>
                <w:sz w:val="22"/>
                <w:szCs w:val="22"/>
              </w:rPr>
              <w:t>2</w:t>
            </w:r>
          </w:p>
        </w:tc>
      </w:tr>
      <w:tr w:rsidR="00FA1F4E">
        <w:tc>
          <w:tcPr>
            <w:tcW w:w="2024" w:type="pct"/>
          </w:tcPr>
          <w:p w:rsidR="00FA1F4E" w:rsidRDefault="003B2CFF">
            <w:pPr>
              <w:pStyle w:val="ConsPlusNormal"/>
              <w:rPr>
                <w:sz w:val="22"/>
                <w:szCs w:val="22"/>
              </w:rPr>
            </w:pPr>
            <w:r>
              <w:rPr>
                <w:sz w:val="22"/>
                <w:szCs w:val="22"/>
              </w:rPr>
              <w:t>второстепенные</w:t>
            </w:r>
          </w:p>
        </w:tc>
        <w:tc>
          <w:tcPr>
            <w:tcW w:w="816" w:type="pct"/>
          </w:tcPr>
          <w:p w:rsidR="00FA1F4E" w:rsidRDefault="003B2CFF">
            <w:pPr>
              <w:pStyle w:val="ConsPlusNormal"/>
              <w:jc w:val="center"/>
              <w:rPr>
                <w:sz w:val="22"/>
                <w:szCs w:val="22"/>
              </w:rPr>
            </w:pPr>
            <w:r>
              <w:rPr>
                <w:sz w:val="22"/>
                <w:szCs w:val="22"/>
              </w:rPr>
              <w:t>30</w:t>
            </w:r>
          </w:p>
        </w:tc>
        <w:tc>
          <w:tcPr>
            <w:tcW w:w="859" w:type="pct"/>
          </w:tcPr>
          <w:p w:rsidR="00FA1F4E" w:rsidRDefault="003B2CFF">
            <w:pPr>
              <w:pStyle w:val="ConsPlusNormal"/>
              <w:jc w:val="center"/>
              <w:rPr>
                <w:sz w:val="22"/>
                <w:szCs w:val="22"/>
              </w:rPr>
            </w:pPr>
            <w:r>
              <w:rPr>
                <w:sz w:val="22"/>
                <w:szCs w:val="22"/>
              </w:rPr>
              <w:t>7 - 10</w:t>
            </w:r>
          </w:p>
        </w:tc>
        <w:tc>
          <w:tcPr>
            <w:tcW w:w="668" w:type="pct"/>
          </w:tcPr>
          <w:p w:rsidR="00FA1F4E" w:rsidRDefault="003B2CFF">
            <w:pPr>
              <w:pStyle w:val="ConsPlusNormal"/>
              <w:jc w:val="center"/>
              <w:rPr>
                <w:sz w:val="22"/>
                <w:szCs w:val="22"/>
              </w:rPr>
            </w:pPr>
            <w:r>
              <w:rPr>
                <w:sz w:val="22"/>
                <w:szCs w:val="22"/>
              </w:rPr>
              <w:t>3,50</w:t>
            </w:r>
          </w:p>
        </w:tc>
        <w:tc>
          <w:tcPr>
            <w:tcW w:w="633" w:type="pct"/>
          </w:tcPr>
          <w:p w:rsidR="00FA1F4E" w:rsidRDefault="003B2CFF">
            <w:pPr>
              <w:pStyle w:val="ConsPlusNormal"/>
              <w:jc w:val="center"/>
              <w:rPr>
                <w:sz w:val="22"/>
                <w:szCs w:val="22"/>
              </w:rPr>
            </w:pPr>
            <w:r>
              <w:rPr>
                <w:sz w:val="22"/>
                <w:szCs w:val="22"/>
              </w:rPr>
              <w:t>1</w:t>
            </w:r>
          </w:p>
        </w:tc>
      </w:tr>
      <w:tr w:rsidR="00FA1F4E">
        <w:tc>
          <w:tcPr>
            <w:tcW w:w="5000" w:type="pct"/>
            <w:gridSpan w:val="5"/>
          </w:tcPr>
          <w:p w:rsidR="00FA1F4E" w:rsidRDefault="003B2CFF">
            <w:pPr>
              <w:pStyle w:val="ConsPlusNormal"/>
              <w:rPr>
                <w:sz w:val="22"/>
                <w:szCs w:val="22"/>
              </w:rPr>
            </w:pPr>
            <w:r>
              <w:rPr>
                <w:sz w:val="22"/>
                <w:szCs w:val="22"/>
              </w:rPr>
              <w:lastRenderedPageBreak/>
              <w:t>Пешеходные улицы:</w:t>
            </w:r>
          </w:p>
        </w:tc>
      </w:tr>
      <w:tr w:rsidR="00FA1F4E">
        <w:tc>
          <w:tcPr>
            <w:tcW w:w="2024" w:type="pct"/>
          </w:tcPr>
          <w:p w:rsidR="00FA1F4E" w:rsidRDefault="003B2CFF">
            <w:pPr>
              <w:pStyle w:val="ConsPlusNormal"/>
              <w:rPr>
                <w:sz w:val="22"/>
                <w:szCs w:val="22"/>
              </w:rPr>
            </w:pPr>
            <w:r>
              <w:rPr>
                <w:sz w:val="22"/>
                <w:szCs w:val="22"/>
              </w:rPr>
              <w:t>основные</w:t>
            </w:r>
          </w:p>
        </w:tc>
        <w:tc>
          <w:tcPr>
            <w:tcW w:w="816" w:type="pct"/>
          </w:tcPr>
          <w:p w:rsidR="00FA1F4E" w:rsidRDefault="003B2CFF">
            <w:pPr>
              <w:pStyle w:val="ConsPlusNormal"/>
              <w:jc w:val="center"/>
              <w:rPr>
                <w:sz w:val="22"/>
                <w:szCs w:val="22"/>
              </w:rPr>
            </w:pPr>
            <w:r>
              <w:rPr>
                <w:sz w:val="22"/>
                <w:szCs w:val="22"/>
              </w:rPr>
              <w:t>-</w:t>
            </w:r>
          </w:p>
        </w:tc>
        <w:tc>
          <w:tcPr>
            <w:tcW w:w="859" w:type="pct"/>
          </w:tcPr>
          <w:p w:rsidR="00FA1F4E" w:rsidRDefault="00FA1F4E">
            <w:pPr>
              <w:pStyle w:val="ConsPlusNormal"/>
              <w:jc w:val="center"/>
              <w:rPr>
                <w:sz w:val="22"/>
                <w:szCs w:val="22"/>
              </w:rPr>
            </w:pPr>
          </w:p>
        </w:tc>
        <w:tc>
          <w:tcPr>
            <w:tcW w:w="668" w:type="pct"/>
          </w:tcPr>
          <w:p w:rsidR="00FA1F4E" w:rsidRDefault="003B2CFF">
            <w:pPr>
              <w:pStyle w:val="ConsPlusNormal"/>
              <w:jc w:val="center"/>
              <w:rPr>
                <w:sz w:val="22"/>
                <w:szCs w:val="22"/>
              </w:rPr>
            </w:pPr>
            <w:r>
              <w:rPr>
                <w:sz w:val="22"/>
                <w:szCs w:val="22"/>
              </w:rPr>
              <w:t>1,00</w:t>
            </w:r>
          </w:p>
        </w:tc>
        <w:tc>
          <w:tcPr>
            <w:tcW w:w="633" w:type="pct"/>
          </w:tcPr>
          <w:p w:rsidR="00FA1F4E" w:rsidRDefault="003B2CFF">
            <w:pPr>
              <w:pStyle w:val="ConsPlusNormal"/>
              <w:jc w:val="center"/>
              <w:rPr>
                <w:sz w:val="22"/>
                <w:szCs w:val="22"/>
              </w:rPr>
            </w:pPr>
            <w:r>
              <w:rPr>
                <w:sz w:val="22"/>
                <w:szCs w:val="22"/>
              </w:rPr>
              <w:t>По расчету</w:t>
            </w:r>
          </w:p>
        </w:tc>
      </w:tr>
      <w:tr w:rsidR="00FA1F4E">
        <w:tc>
          <w:tcPr>
            <w:tcW w:w="2024" w:type="pct"/>
          </w:tcPr>
          <w:p w:rsidR="00FA1F4E" w:rsidRDefault="003B2CFF">
            <w:pPr>
              <w:pStyle w:val="ConsPlusNormal"/>
              <w:rPr>
                <w:sz w:val="22"/>
                <w:szCs w:val="22"/>
              </w:rPr>
            </w:pPr>
            <w:r>
              <w:rPr>
                <w:sz w:val="22"/>
                <w:szCs w:val="22"/>
              </w:rPr>
              <w:t>второстепенные</w:t>
            </w:r>
          </w:p>
        </w:tc>
        <w:tc>
          <w:tcPr>
            <w:tcW w:w="816" w:type="pct"/>
          </w:tcPr>
          <w:p w:rsidR="00FA1F4E" w:rsidRDefault="003B2CFF">
            <w:pPr>
              <w:pStyle w:val="ConsPlusNormal"/>
              <w:jc w:val="center"/>
              <w:rPr>
                <w:sz w:val="22"/>
                <w:szCs w:val="22"/>
              </w:rPr>
            </w:pPr>
            <w:r>
              <w:rPr>
                <w:sz w:val="22"/>
                <w:szCs w:val="22"/>
              </w:rPr>
              <w:t>-</w:t>
            </w:r>
          </w:p>
        </w:tc>
        <w:tc>
          <w:tcPr>
            <w:tcW w:w="859" w:type="pct"/>
          </w:tcPr>
          <w:p w:rsidR="00FA1F4E" w:rsidRDefault="00FA1F4E">
            <w:pPr>
              <w:pStyle w:val="ConsPlusNormal"/>
              <w:jc w:val="center"/>
              <w:rPr>
                <w:sz w:val="22"/>
                <w:szCs w:val="22"/>
              </w:rPr>
            </w:pPr>
          </w:p>
        </w:tc>
        <w:tc>
          <w:tcPr>
            <w:tcW w:w="668" w:type="pct"/>
          </w:tcPr>
          <w:p w:rsidR="00FA1F4E" w:rsidRDefault="003B2CFF">
            <w:pPr>
              <w:pStyle w:val="ConsPlusNormal"/>
              <w:jc w:val="center"/>
              <w:rPr>
                <w:sz w:val="22"/>
                <w:szCs w:val="22"/>
              </w:rPr>
            </w:pPr>
            <w:r>
              <w:rPr>
                <w:sz w:val="22"/>
                <w:szCs w:val="22"/>
              </w:rPr>
              <w:t>0,75</w:t>
            </w:r>
          </w:p>
        </w:tc>
        <w:tc>
          <w:tcPr>
            <w:tcW w:w="633" w:type="pct"/>
          </w:tcPr>
          <w:p w:rsidR="00FA1F4E" w:rsidRDefault="003B2CFF">
            <w:pPr>
              <w:pStyle w:val="ConsPlusNormal"/>
              <w:jc w:val="center"/>
              <w:rPr>
                <w:sz w:val="22"/>
                <w:szCs w:val="22"/>
              </w:rPr>
            </w:pPr>
            <w:r>
              <w:rPr>
                <w:sz w:val="22"/>
                <w:szCs w:val="22"/>
              </w:rPr>
              <w:t>То же</w:t>
            </w:r>
          </w:p>
        </w:tc>
      </w:tr>
      <w:tr w:rsidR="00FA1F4E">
        <w:tc>
          <w:tcPr>
            <w:tcW w:w="2024" w:type="pct"/>
          </w:tcPr>
          <w:p w:rsidR="00FA1F4E" w:rsidRDefault="003B2CFF">
            <w:pPr>
              <w:pStyle w:val="ConsPlusNormal"/>
              <w:rPr>
                <w:sz w:val="22"/>
                <w:szCs w:val="22"/>
              </w:rPr>
            </w:pPr>
            <w:r>
              <w:rPr>
                <w:sz w:val="22"/>
                <w:szCs w:val="22"/>
              </w:rPr>
              <w:t>Велосипедные дорожки:</w:t>
            </w:r>
          </w:p>
        </w:tc>
        <w:tc>
          <w:tcPr>
            <w:tcW w:w="816" w:type="pct"/>
          </w:tcPr>
          <w:p w:rsidR="00FA1F4E" w:rsidRDefault="003B2CFF">
            <w:pPr>
              <w:pStyle w:val="ConsPlusNormal"/>
              <w:jc w:val="center"/>
              <w:rPr>
                <w:sz w:val="22"/>
                <w:szCs w:val="22"/>
              </w:rPr>
            </w:pPr>
            <w:r>
              <w:rPr>
                <w:sz w:val="22"/>
                <w:szCs w:val="22"/>
              </w:rPr>
              <w:t>20</w:t>
            </w:r>
          </w:p>
        </w:tc>
        <w:tc>
          <w:tcPr>
            <w:tcW w:w="859" w:type="pct"/>
          </w:tcPr>
          <w:p w:rsidR="00FA1F4E" w:rsidRDefault="00FA1F4E">
            <w:pPr>
              <w:pStyle w:val="ConsPlusNormal"/>
              <w:jc w:val="center"/>
              <w:rPr>
                <w:sz w:val="22"/>
                <w:szCs w:val="22"/>
              </w:rPr>
            </w:pPr>
          </w:p>
        </w:tc>
        <w:tc>
          <w:tcPr>
            <w:tcW w:w="668" w:type="pct"/>
          </w:tcPr>
          <w:p w:rsidR="00FA1F4E" w:rsidRDefault="003B2CFF">
            <w:pPr>
              <w:pStyle w:val="ConsPlusNormal"/>
              <w:jc w:val="center"/>
              <w:rPr>
                <w:sz w:val="22"/>
                <w:szCs w:val="22"/>
              </w:rPr>
            </w:pPr>
            <w:r>
              <w:rPr>
                <w:sz w:val="22"/>
                <w:szCs w:val="22"/>
              </w:rPr>
              <w:t>1,50</w:t>
            </w:r>
          </w:p>
        </w:tc>
        <w:tc>
          <w:tcPr>
            <w:tcW w:w="633" w:type="pct"/>
          </w:tcPr>
          <w:p w:rsidR="00FA1F4E" w:rsidRDefault="003B2CFF">
            <w:pPr>
              <w:pStyle w:val="ConsPlusNormal"/>
              <w:jc w:val="center"/>
              <w:rPr>
                <w:sz w:val="22"/>
                <w:szCs w:val="22"/>
              </w:rPr>
            </w:pPr>
            <w:r>
              <w:rPr>
                <w:sz w:val="22"/>
                <w:szCs w:val="22"/>
              </w:rPr>
              <w:t>1 - 2</w:t>
            </w:r>
          </w:p>
        </w:tc>
      </w:tr>
      <w:tr w:rsidR="00FA1F4E">
        <w:tc>
          <w:tcPr>
            <w:tcW w:w="5000" w:type="pct"/>
            <w:gridSpan w:val="5"/>
          </w:tcPr>
          <w:p w:rsidR="00FA1F4E" w:rsidRDefault="003B2CFF">
            <w:pPr>
              <w:pStyle w:val="ConsPlusNormal"/>
              <w:rPr>
                <w:sz w:val="22"/>
                <w:szCs w:val="22"/>
              </w:rPr>
            </w:pPr>
            <w:r>
              <w:rPr>
                <w:sz w:val="22"/>
                <w:szCs w:val="22"/>
              </w:rPr>
              <w:t>*Примечание: с учетом использования одной полосы для стоянок легковых автомобилей.</w:t>
            </w:r>
          </w:p>
        </w:tc>
      </w:tr>
    </w:tbl>
    <w:p w:rsidR="00FA1F4E" w:rsidRDefault="00FA1F4E"/>
    <w:p w:rsidR="00FA1F4E" w:rsidRDefault="003B2CFF">
      <w:r>
        <w:t>В условиях реконструкции на улицах местного значения, а также при расчетном пешеходном движении менее 50 чел./час в обоих направлениях допускается устройство тротуаров и дорожек шириной 1 м.</w:t>
      </w:r>
    </w:p>
    <w:p w:rsidR="00FA1F4E" w:rsidRDefault="003B2CFF">
      <w:r>
        <w:t>При непосредственном примыкании тротуаров к стенам зданий, подпорным стенкам или оградам следует увеличивать их ширину не менее чем на 0,5 м.</w:t>
      </w:r>
    </w:p>
    <w:p w:rsidR="00FA1F4E" w:rsidRDefault="003B2CFF">
      <w:pPr>
        <w:rPr>
          <w:rFonts w:cs="Times New Roman"/>
          <w:szCs w:val="24"/>
          <w:lang w:eastAsia="ru-RU"/>
        </w:rPr>
      </w:pPr>
      <w:r>
        <w:t>Действующим генеральным планом предусмотрено</w:t>
      </w:r>
      <w:r>
        <w:rPr>
          <w:rFonts w:cs="Times New Roman"/>
          <w:szCs w:val="24"/>
          <w:lang w:eastAsia="ru-RU"/>
        </w:rPr>
        <w:t xml:space="preserve"> строительство улиц в жилой застройке для обеспечения развития территорий нового жилищного строительства с учетом обустройства для обеспечения беспрепятственного доступа и использования инвалидами и другими маломобильными группами населения, общей протяженностью 5,6 км.</w:t>
      </w:r>
    </w:p>
    <w:p w:rsidR="00FA1F4E" w:rsidRDefault="003B2CFF">
      <w:pPr>
        <w:widowControl w:val="0"/>
        <w:autoSpaceDE w:val="0"/>
        <w:autoSpaceDN w:val="0"/>
        <w:adjustRightInd w:val="0"/>
        <w:rPr>
          <w:rFonts w:cs="Times New Roman"/>
          <w:szCs w:val="24"/>
          <w:lang w:eastAsia="ru-RU"/>
        </w:rPr>
      </w:pPr>
      <w:r>
        <w:rPr>
          <w:rFonts w:cs="Times New Roman"/>
          <w:szCs w:val="24"/>
          <w:lang w:eastAsia="ru-RU"/>
        </w:rPr>
        <w:t>На перспективу предлагается создание единой транспортной системы, связывающей центральный, южный и западный районы города за счет организации пешеходно-транспортного тоннеля под железной дорогой между пр. Гагарина и ул. Мошкина.</w:t>
      </w:r>
    </w:p>
    <w:p w:rsidR="00FA1F4E" w:rsidRDefault="003B2CFF">
      <w:pPr>
        <w:widowControl w:val="0"/>
        <w:autoSpaceDE w:val="0"/>
        <w:autoSpaceDN w:val="0"/>
        <w:adjustRightInd w:val="0"/>
        <w:rPr>
          <w:rFonts w:cs="Times New Roman"/>
          <w:szCs w:val="24"/>
          <w:lang w:eastAsia="ru-RU"/>
        </w:rPr>
      </w:pPr>
      <w:r>
        <w:rPr>
          <w:rFonts w:cs="Times New Roman"/>
          <w:szCs w:val="24"/>
          <w:lang w:eastAsia="ru-RU"/>
        </w:rPr>
        <w:t>При подготовке документации по планировке территории необходимо предусматривать организацию открытых площадок для временного хранения (парковки) транспортных средств в планируемых зонах жилищного строительства при условии соблюдения санитарных разрывов от автостоянок, а также организацию автобусных остановочных пунктов для возможности обслуживания территории маршрутами общественного транспорта.</w:t>
      </w:r>
    </w:p>
    <w:p w:rsidR="00FA1F4E" w:rsidRDefault="003B2CFF">
      <w:r>
        <w:t>Требования к уровню и качеству транспортного обслуживания населения при осуществлении перевозок пассажиров и багажа автомобильным транспортом по муниципальным, межмуниципальным, смежным, межрегиональным и международным маршрутам регулярных перевозок и их нормативные значения установлены в соответствии с социальным стандартом транспортного обслуживания населения (распоряжение Минтранса России от 31 января 2017 года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Все остановочные пункты, которые обслуживаются маршрутами регулярных перевозок, должны отвечать требованиям, установленным подпунктами 7.3.1 - 7.3.16 ОДМ 218.2.007-2011 «Методические рекомендации по проектированию мероприятий по обеспечению доступа инвалидов к объектам дорожного хозяйства».</w:t>
      </w:r>
    </w:p>
    <w:p w:rsidR="00FA1F4E" w:rsidRDefault="003B2CFF">
      <w:pPr>
        <w:rPr>
          <w:bCs/>
        </w:rPr>
      </w:pPr>
      <w:r>
        <w:rPr>
          <w:bCs/>
        </w:rPr>
        <w:t>При подготовке изменений в генеральный план</w:t>
      </w:r>
      <w:r>
        <w:t xml:space="preserve"> </w:t>
      </w:r>
      <w:r>
        <w:rPr>
          <w:bCs/>
        </w:rPr>
        <w:t xml:space="preserve">Лодейнопольского городского поселения Лодейнопольского муниципального района Ленинградской области применительно к городу Лодейное Поле </w:t>
      </w:r>
      <w:r>
        <w:t>вносятся</w:t>
      </w:r>
      <w:r>
        <w:rPr>
          <w:bCs/>
        </w:rPr>
        <w:t xml:space="preserve"> следующие изменения в</w:t>
      </w:r>
      <w:r>
        <w:t xml:space="preserve"> сведения о планируемых объектах </w:t>
      </w:r>
      <w:r>
        <w:rPr>
          <w:bCs/>
        </w:rPr>
        <w:t>транспортное обслуживание населения в границах поселения:</w:t>
      </w:r>
    </w:p>
    <w:p w:rsidR="00FA1F4E" w:rsidRDefault="003B2CFF">
      <w:pPr>
        <w:pStyle w:val="afff"/>
        <w:numPr>
          <w:ilvl w:val="0"/>
          <w:numId w:val="47"/>
        </w:numPr>
      </w:pPr>
      <w:r>
        <w:rPr>
          <w:bCs/>
        </w:rPr>
        <w:t xml:space="preserve">из положений о территориальном планировании исключаются сведения об объектах, являющихся объектами местного значения муниципального района в соответствии со схемой </w:t>
      </w:r>
      <w:r>
        <w:t>территориального планирования Лодейнопольского муниципального района Ленинградской области</w:t>
      </w:r>
      <w:r>
        <w:rPr>
          <w:bCs/>
        </w:rPr>
        <w:t>: автобусная станция, причал, планируемые к строительству.</w:t>
      </w:r>
    </w:p>
    <w:p w:rsidR="00FA1F4E" w:rsidRDefault="00FA1F4E"/>
    <w:p w:rsidR="00FA1F4E" w:rsidRDefault="003B2CFF">
      <w:pPr>
        <w:pStyle w:val="20"/>
      </w:pPr>
      <w:bookmarkStart w:id="29" w:name="_Toc106831763"/>
      <w:r>
        <w:t>7.6. Учет интересов маломобильных групп населения</w:t>
      </w:r>
      <w:bookmarkEnd w:id="29"/>
    </w:p>
    <w:p w:rsidR="00FA1F4E" w:rsidRDefault="00FA1F4E"/>
    <w:p w:rsidR="00FA1F4E" w:rsidRDefault="003B2CFF">
      <w:r>
        <w:t xml:space="preserve">С учетом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Указа Президента Российской Федерации от 21 июля 2020 года № 474 «О национальных целях развития Российской Федерации на период до 2030 года» главными направлениями </w:t>
      </w:r>
      <w:r>
        <w:lastRenderedPageBreak/>
        <w:t>социальной политики Ленинградской области на период до 2024 года являются повышение уровня и качества жизни отдельных категорий граждан, включая улучшение демографической ситуации, повышение качества жизни граждан пожилого возраста и инвалидов путем формирования доступной среды жизнедеятельности для лиц с ограниченными возможностями.</w:t>
      </w:r>
    </w:p>
    <w:p w:rsidR="00FA1F4E" w:rsidRDefault="003B2CFF">
      <w:r>
        <w:t>При проектировании планируемых объектов социальной инфраструктуры, объектов транспортной инфраструктуры, объектов отдыха и туризма необходимо учитывать требования статьи 15 Федерального закона от 24 ноября 1995 года № 181-ФЗ «О социальной защите инвалидов в Российской Федерации». Соблюдение требований федеральных законов и иных нормативных правовых актов Российской Федерации, законов и иных нормативных правовых актов Ленинградской области, изданных в целях обеспечения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обеспечивается посредством осуществления экспертизы проектной документации и государственного строительного контроля (надзора) в соответствии с законодательством о градостроительной деятельности. Действующими нормативами установлены требования по созданию условий для беспрепятственного доступа 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59.13330.2020 «СНиП 35-01-2001 Доступность зданий и сооружений для маломобильных групп населения»,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реализации требований доступности для инвалидов к объектам социальной инфраструктуры», иные нормативные документы.</w:t>
      </w:r>
    </w:p>
    <w:p w:rsidR="00FA1F4E" w:rsidRDefault="003B2CFF">
      <w:pPr>
        <w:pStyle w:val="afff3"/>
        <w:spacing w:before="0" w:after="0"/>
        <w:ind w:firstLine="709"/>
      </w:pPr>
      <w:r>
        <w:t xml:space="preserve">В целях создания условий инвалидам и другим маломобильным группам населения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общественного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 градостроительной документацией должны быть предусмотрены следующие условия: </w:t>
      </w:r>
    </w:p>
    <w:p w:rsidR="00FA1F4E" w:rsidRDefault="003B2CFF">
      <w:pPr>
        <w:pStyle w:val="afff3"/>
        <w:numPr>
          <w:ilvl w:val="0"/>
          <w:numId w:val="45"/>
        </w:numPr>
        <w:spacing w:before="0" w:after="0"/>
      </w:pPr>
      <w:r>
        <w:t xml:space="preserve">обеспечение досягаемости мест целевого посещения; </w:t>
      </w:r>
    </w:p>
    <w:p w:rsidR="00FA1F4E" w:rsidRDefault="003B2CFF">
      <w:pPr>
        <w:pStyle w:val="afff3"/>
        <w:numPr>
          <w:ilvl w:val="0"/>
          <w:numId w:val="45"/>
        </w:numPr>
        <w:spacing w:before="0" w:after="0"/>
      </w:pPr>
      <w:r>
        <w:t xml:space="preserve">организация безопасности путей движения (в том числе эвакуационных), а также мест проживания, обслуживания и приложения труда; </w:t>
      </w:r>
    </w:p>
    <w:p w:rsidR="00FA1F4E" w:rsidRDefault="003B2CFF">
      <w:pPr>
        <w:pStyle w:val="afff3"/>
        <w:numPr>
          <w:ilvl w:val="0"/>
          <w:numId w:val="45"/>
        </w:numPr>
        <w:spacing w:before="0" w:after="0"/>
      </w:pPr>
      <w:r>
        <w:t xml:space="preserve">создание удобных, безопасных пешеходных переходов через железнодорожные пути в черте населенных пунктов, оборудованных светофорными объектами с системой оповещения; </w:t>
      </w:r>
    </w:p>
    <w:p w:rsidR="00FA1F4E" w:rsidRDefault="003B2CFF">
      <w:pPr>
        <w:pStyle w:val="afff3"/>
        <w:numPr>
          <w:ilvl w:val="0"/>
          <w:numId w:val="45"/>
        </w:numPr>
        <w:spacing w:before="0" w:after="0"/>
      </w:pPr>
      <w:r>
        <w:t xml:space="preserve">на открытых индивидуальных автостоянках около учреждений обслуживания следует выделять не менее 10 % мест (но не менее одного места) для транспорта инвалидов, эти места должны обозначаться знаками, принятыми в международной практике; </w:t>
      </w:r>
    </w:p>
    <w:p w:rsidR="00FA1F4E" w:rsidRDefault="003B2CFF">
      <w:pPr>
        <w:pStyle w:val="afff3"/>
        <w:numPr>
          <w:ilvl w:val="0"/>
          <w:numId w:val="45"/>
        </w:numPr>
        <w:spacing w:before="0" w:after="0"/>
      </w:pPr>
      <w:r>
        <w:t xml:space="preserve">разработка системы (программы) 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w:t>
      </w:r>
    </w:p>
    <w:p w:rsidR="00FA1F4E" w:rsidRDefault="003B2CFF">
      <w:pPr>
        <w:pStyle w:val="afff3"/>
        <w:numPr>
          <w:ilvl w:val="0"/>
          <w:numId w:val="45"/>
        </w:numPr>
        <w:spacing w:before="0" w:after="0"/>
      </w:pPr>
      <w:r>
        <w:t xml:space="preserve">при проектировании новых объектов социального и культурно-бытового назначения учет требований беспрепятственности перемещения внутри зданий и сооружений; </w:t>
      </w:r>
    </w:p>
    <w:p w:rsidR="00FA1F4E" w:rsidRDefault="003B2CFF">
      <w:pPr>
        <w:pStyle w:val="afff3"/>
        <w:numPr>
          <w:ilvl w:val="0"/>
          <w:numId w:val="45"/>
        </w:numPr>
        <w:spacing w:before="0" w:after="0"/>
      </w:pPr>
      <w:r>
        <w:t>при разработке проектов реконструкции улично-дорожной сети населенных пунктов учет возможности проезда маломобильных групп населения.</w:t>
      </w:r>
    </w:p>
    <w:p w:rsidR="00FA1F4E" w:rsidRDefault="003B2CFF">
      <w:pPr>
        <w:pStyle w:val="1"/>
      </w:pPr>
      <w:bookmarkStart w:id="30" w:name="_Toc106831765"/>
      <w:r>
        <w:lastRenderedPageBreak/>
        <w:t>8. Изменение границы города Лодейное Поле</w:t>
      </w:r>
      <w:bookmarkEnd w:id="30"/>
    </w:p>
    <w:p w:rsidR="00FA1F4E" w:rsidRDefault="00FA1F4E">
      <w:pPr>
        <w:rPr>
          <w:bCs/>
        </w:rPr>
      </w:pPr>
    </w:p>
    <w:p w:rsidR="00FA1F4E" w:rsidRDefault="003B2CFF">
      <w:pPr>
        <w:rPr>
          <w:bCs/>
        </w:rPr>
      </w:pPr>
      <w:r>
        <w:rPr>
          <w:bCs/>
        </w:rPr>
        <w:t>Сведения о границе населенного пункта: город Лодейное Поле, утвержденной действующим генеральным планом, внесены в ЕГРН (реестровый номер 47:06-4.10).</w:t>
      </w:r>
    </w:p>
    <w:p w:rsidR="00FA1F4E" w:rsidRDefault="003B2CFF">
      <w:r>
        <w:t xml:space="preserve">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предусмотрено включение земельных участков с кадастровыми номерами 47:06:0405001:405 и 47:06:0405001:406, на которых расположен объект местного значения поселения </w:t>
      </w:r>
      <w:r>
        <w:rPr>
          <w:rFonts w:cs="Times New Roman"/>
          <w:sz w:val="22"/>
        </w:rPr>
        <w:t>–</w:t>
      </w:r>
      <w:r>
        <w:t xml:space="preserve"> водоочистные сооружения водозабора реки Свирь, в границу населенного пункта с целью создания условий для реализации мероприятий по их реконструкции, включенных в региональную программу Ленинградской области «Повышение качества водоснабжения в Ленинградской области» на период с 2019 по 2024 годы (в целях реализации федерального проекта «Чистая вода»). </w:t>
      </w:r>
    </w:p>
    <w:p w:rsidR="00FA1F4E" w:rsidRDefault="003B2CFF">
      <w:pPr>
        <w:rPr>
          <w:bCs/>
        </w:rPr>
      </w:pPr>
      <w:r>
        <w:rPr>
          <w:bCs/>
        </w:rPr>
        <w:t>Перечень земельных участков, которые включаются в границы населенных пунктов, входящих в состав поселения, с указанием целей их планируемого использования в связи с внесением изменений в генеральный план представлены в таблице 17.</w:t>
      </w:r>
    </w:p>
    <w:p w:rsidR="00FA1F4E" w:rsidRDefault="003B2CFF">
      <w:pPr>
        <w:rPr>
          <w:bCs/>
        </w:rPr>
      </w:pPr>
      <w:r>
        <w:rPr>
          <w:rFonts w:cs="Times New Roman"/>
          <w:szCs w:val="24"/>
          <w:shd w:val="clear" w:color="auto" w:fill="FFFFFF"/>
        </w:rPr>
        <w:t>Земельные участки, предлагаемые к включению в границу населенного пункта, не включены в перечень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p>
    <w:p w:rsidR="00FA1F4E" w:rsidRDefault="003B2CFF">
      <w:pPr>
        <w:rPr>
          <w:bCs/>
        </w:rPr>
      </w:pPr>
      <w:r>
        <w:rPr>
          <w:bCs/>
        </w:rPr>
        <w:t>Исключение земельных участков из границ населенных пунктов не предусмотрено.</w:t>
      </w:r>
    </w:p>
    <w:p w:rsidR="00FA1F4E" w:rsidRDefault="00FA1F4E">
      <w:pPr>
        <w:ind w:firstLine="0"/>
        <w:rPr>
          <w:bCs/>
        </w:rPr>
      </w:pPr>
    </w:p>
    <w:p w:rsidR="00FA1F4E" w:rsidRDefault="003B2CFF">
      <w:pPr>
        <w:suppressAutoHyphens/>
        <w:jc w:val="center"/>
      </w:pPr>
      <w:r>
        <w:t>Таблица 17. Перечень земельных участков, которые включаются в границу населенного пункта: город Лодейное Поле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588"/>
        <w:gridCol w:w="1129"/>
        <w:gridCol w:w="2601"/>
        <w:gridCol w:w="1390"/>
        <w:gridCol w:w="1773"/>
      </w:tblGrid>
      <w:tr w:rsidR="00FA1F4E">
        <w:trPr>
          <w:trHeight w:val="253"/>
          <w:tblHeader/>
          <w:jc w:val="center"/>
        </w:trPr>
        <w:tc>
          <w:tcPr>
            <w:tcW w:w="931" w:type="pct"/>
            <w:vAlign w:val="center"/>
          </w:tcPr>
          <w:p w:rsidR="00FA1F4E" w:rsidRDefault="003B2CFF">
            <w:pPr>
              <w:autoSpaceDN w:val="0"/>
              <w:adjustRightInd w:val="0"/>
              <w:ind w:firstLine="0"/>
              <w:jc w:val="center"/>
            </w:pPr>
            <w:r>
              <w:rPr>
                <w:sz w:val="22"/>
              </w:rPr>
              <w:t>Кадастровый номер земельного участка</w:t>
            </w:r>
          </w:p>
        </w:tc>
        <w:tc>
          <w:tcPr>
            <w:tcW w:w="762" w:type="pct"/>
            <w:vAlign w:val="center"/>
          </w:tcPr>
          <w:p w:rsidR="00FA1F4E" w:rsidRDefault="003B2CFF">
            <w:pPr>
              <w:autoSpaceDN w:val="0"/>
              <w:adjustRightInd w:val="0"/>
              <w:ind w:firstLine="0"/>
              <w:jc w:val="center"/>
            </w:pPr>
            <w:r>
              <w:rPr>
                <w:sz w:val="22"/>
              </w:rPr>
              <w:t>Форма собственности</w:t>
            </w:r>
          </w:p>
        </w:tc>
        <w:tc>
          <w:tcPr>
            <w:tcW w:w="542" w:type="pct"/>
            <w:vAlign w:val="center"/>
          </w:tcPr>
          <w:p w:rsidR="00FA1F4E" w:rsidRDefault="003B2CFF">
            <w:pPr>
              <w:autoSpaceDN w:val="0"/>
              <w:adjustRightInd w:val="0"/>
              <w:ind w:firstLine="0"/>
              <w:jc w:val="center"/>
            </w:pPr>
            <w:r>
              <w:rPr>
                <w:sz w:val="22"/>
              </w:rPr>
              <w:t>Площадь, кв. м</w:t>
            </w:r>
          </w:p>
        </w:tc>
        <w:tc>
          <w:tcPr>
            <w:tcW w:w="1286" w:type="pct"/>
            <w:vAlign w:val="center"/>
          </w:tcPr>
          <w:p w:rsidR="00FA1F4E" w:rsidRDefault="003B2CFF">
            <w:pPr>
              <w:autoSpaceDN w:val="0"/>
              <w:adjustRightInd w:val="0"/>
              <w:ind w:firstLine="0"/>
              <w:jc w:val="center"/>
            </w:pPr>
            <w:r>
              <w:rPr>
                <w:sz w:val="22"/>
              </w:rPr>
              <w:t>Существующая категория земель</w:t>
            </w:r>
          </w:p>
        </w:tc>
        <w:tc>
          <w:tcPr>
            <w:tcW w:w="629" w:type="pct"/>
            <w:vAlign w:val="center"/>
          </w:tcPr>
          <w:p w:rsidR="00FA1F4E" w:rsidRDefault="003B2CFF">
            <w:pPr>
              <w:autoSpaceDN w:val="0"/>
              <w:adjustRightInd w:val="0"/>
              <w:ind w:firstLine="0"/>
              <w:jc w:val="center"/>
            </w:pPr>
            <w:r>
              <w:rPr>
                <w:sz w:val="22"/>
              </w:rPr>
              <w:t>Категория земель, в которую планируется включение земельного участка</w:t>
            </w:r>
          </w:p>
        </w:tc>
        <w:tc>
          <w:tcPr>
            <w:tcW w:w="851" w:type="pct"/>
            <w:vAlign w:val="center"/>
          </w:tcPr>
          <w:p w:rsidR="00FA1F4E" w:rsidRDefault="003B2CFF">
            <w:pPr>
              <w:pStyle w:val="320"/>
              <w:suppressAutoHyphens w:val="0"/>
              <w:spacing w:line="240" w:lineRule="auto"/>
              <w:jc w:val="center"/>
              <w:rPr>
                <w:szCs w:val="22"/>
              </w:rPr>
            </w:pPr>
            <w:r>
              <w:rPr>
                <w:sz w:val="22"/>
                <w:szCs w:val="22"/>
                <w:lang w:eastAsia="ru-RU"/>
              </w:rPr>
              <w:t>Цель планируемого использования</w:t>
            </w:r>
          </w:p>
        </w:tc>
      </w:tr>
      <w:tr w:rsidR="00FA1F4E">
        <w:trPr>
          <w:trHeight w:val="253"/>
          <w:jc w:val="center"/>
        </w:trPr>
        <w:tc>
          <w:tcPr>
            <w:tcW w:w="931" w:type="pct"/>
          </w:tcPr>
          <w:p w:rsidR="00FA1F4E" w:rsidRDefault="003B2CFF">
            <w:pPr>
              <w:autoSpaceDN w:val="0"/>
              <w:adjustRightInd w:val="0"/>
              <w:ind w:firstLine="0"/>
              <w:jc w:val="center"/>
            </w:pPr>
            <w:r>
              <w:rPr>
                <w:sz w:val="22"/>
              </w:rPr>
              <w:t>47:06:0405001:405</w:t>
            </w:r>
          </w:p>
        </w:tc>
        <w:tc>
          <w:tcPr>
            <w:tcW w:w="762" w:type="pct"/>
          </w:tcPr>
          <w:p w:rsidR="00FA1F4E" w:rsidRDefault="003B2CFF">
            <w:pPr>
              <w:autoSpaceDN w:val="0"/>
              <w:adjustRightInd w:val="0"/>
              <w:ind w:firstLine="0"/>
              <w:jc w:val="center"/>
            </w:pPr>
            <w:r>
              <w:rPr>
                <w:sz w:val="22"/>
              </w:rPr>
              <w:t>собственность публично-правовых образований</w:t>
            </w:r>
          </w:p>
        </w:tc>
        <w:tc>
          <w:tcPr>
            <w:tcW w:w="542" w:type="pct"/>
          </w:tcPr>
          <w:p w:rsidR="00FA1F4E" w:rsidRDefault="003B2CFF">
            <w:pPr>
              <w:autoSpaceDN w:val="0"/>
              <w:adjustRightInd w:val="0"/>
              <w:ind w:firstLine="0"/>
              <w:jc w:val="center"/>
            </w:pPr>
            <w:r>
              <w:rPr>
                <w:sz w:val="22"/>
              </w:rPr>
              <w:t>21880</w:t>
            </w:r>
          </w:p>
        </w:tc>
        <w:tc>
          <w:tcPr>
            <w:tcW w:w="1286" w:type="pct"/>
          </w:tcPr>
          <w:p w:rsidR="00FA1F4E" w:rsidRDefault="003B2CFF">
            <w:pPr>
              <w:autoSpaceDN w:val="0"/>
              <w:adjustRightInd w:val="0"/>
              <w:ind w:firstLine="0"/>
              <w:jc w:val="center"/>
            </w:pPr>
            <w:r>
              <w:rPr>
                <w:sz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29" w:type="pct"/>
          </w:tcPr>
          <w:p w:rsidR="00FA1F4E" w:rsidRDefault="003B2CFF">
            <w:pPr>
              <w:autoSpaceDN w:val="0"/>
              <w:adjustRightInd w:val="0"/>
              <w:ind w:firstLine="0"/>
              <w:jc w:val="center"/>
            </w:pPr>
            <w:r>
              <w:rPr>
                <w:sz w:val="22"/>
              </w:rPr>
              <w:t>земли населенных пунктов</w:t>
            </w:r>
          </w:p>
        </w:tc>
        <w:tc>
          <w:tcPr>
            <w:tcW w:w="851" w:type="pct"/>
          </w:tcPr>
          <w:p w:rsidR="00FA1F4E" w:rsidRDefault="003B2CFF">
            <w:pPr>
              <w:autoSpaceDN w:val="0"/>
              <w:adjustRightInd w:val="0"/>
              <w:ind w:firstLine="0"/>
              <w:jc w:val="center"/>
              <w:rPr>
                <w:shd w:val="clear" w:color="auto" w:fill="FFFFFF"/>
              </w:rPr>
            </w:pPr>
            <w:r>
              <w:rPr>
                <w:sz w:val="22"/>
              </w:rPr>
              <w:t>сохранение целевого назначения в соответствии со сведениями, внесенными в ЕГРН (коммунальное обслуживание</w:t>
            </w:r>
            <w:r>
              <w:rPr>
                <w:sz w:val="22"/>
                <w:shd w:val="clear" w:color="auto" w:fill="FFFFFF"/>
              </w:rPr>
              <w:t>)</w:t>
            </w:r>
          </w:p>
        </w:tc>
      </w:tr>
      <w:tr w:rsidR="00FA1F4E">
        <w:trPr>
          <w:trHeight w:val="253"/>
          <w:jc w:val="center"/>
        </w:trPr>
        <w:tc>
          <w:tcPr>
            <w:tcW w:w="931" w:type="pct"/>
          </w:tcPr>
          <w:p w:rsidR="00FA1F4E" w:rsidRDefault="003B2CFF">
            <w:pPr>
              <w:autoSpaceDN w:val="0"/>
              <w:adjustRightInd w:val="0"/>
              <w:ind w:firstLine="0"/>
              <w:jc w:val="center"/>
            </w:pPr>
            <w:r>
              <w:rPr>
                <w:sz w:val="22"/>
              </w:rPr>
              <w:t>47:06:0405001:406</w:t>
            </w:r>
          </w:p>
        </w:tc>
        <w:tc>
          <w:tcPr>
            <w:tcW w:w="762" w:type="pct"/>
          </w:tcPr>
          <w:p w:rsidR="00FA1F4E" w:rsidRDefault="003B2CFF">
            <w:pPr>
              <w:autoSpaceDN w:val="0"/>
              <w:adjustRightInd w:val="0"/>
              <w:ind w:firstLine="0"/>
              <w:jc w:val="center"/>
            </w:pPr>
            <w:r>
              <w:rPr>
                <w:sz w:val="22"/>
              </w:rPr>
              <w:t>собственность публично-правовых образований</w:t>
            </w:r>
          </w:p>
        </w:tc>
        <w:tc>
          <w:tcPr>
            <w:tcW w:w="542" w:type="pct"/>
          </w:tcPr>
          <w:p w:rsidR="00FA1F4E" w:rsidRDefault="003B2CFF">
            <w:pPr>
              <w:autoSpaceDN w:val="0"/>
              <w:adjustRightInd w:val="0"/>
              <w:ind w:firstLine="0"/>
              <w:jc w:val="center"/>
            </w:pPr>
            <w:r>
              <w:rPr>
                <w:sz w:val="22"/>
              </w:rPr>
              <w:t>11143</w:t>
            </w:r>
          </w:p>
        </w:tc>
        <w:tc>
          <w:tcPr>
            <w:tcW w:w="1286" w:type="pct"/>
          </w:tcPr>
          <w:p w:rsidR="00FA1F4E" w:rsidRDefault="003B2CFF">
            <w:pPr>
              <w:autoSpaceDN w:val="0"/>
              <w:adjustRightInd w:val="0"/>
              <w:ind w:firstLine="0"/>
              <w:jc w:val="center"/>
            </w:pPr>
            <w:r>
              <w:rPr>
                <w:sz w:val="22"/>
              </w:rPr>
              <w:t>земли сельскохозяйственного назначения</w:t>
            </w:r>
          </w:p>
        </w:tc>
        <w:tc>
          <w:tcPr>
            <w:tcW w:w="629" w:type="pct"/>
          </w:tcPr>
          <w:p w:rsidR="00FA1F4E" w:rsidRDefault="003B2CFF">
            <w:pPr>
              <w:autoSpaceDN w:val="0"/>
              <w:adjustRightInd w:val="0"/>
              <w:ind w:firstLine="0"/>
              <w:jc w:val="center"/>
            </w:pPr>
            <w:r>
              <w:rPr>
                <w:sz w:val="22"/>
              </w:rPr>
              <w:t>земли населенных пунктов</w:t>
            </w:r>
          </w:p>
        </w:tc>
        <w:tc>
          <w:tcPr>
            <w:tcW w:w="851" w:type="pct"/>
          </w:tcPr>
          <w:p w:rsidR="00FA1F4E" w:rsidRDefault="003B2CFF">
            <w:pPr>
              <w:autoSpaceDN w:val="0"/>
              <w:adjustRightInd w:val="0"/>
              <w:ind w:firstLine="0"/>
              <w:jc w:val="center"/>
            </w:pPr>
            <w:r>
              <w:rPr>
                <w:sz w:val="22"/>
              </w:rPr>
              <w:t>сохранение целевого назначения в соответствии со сведениями, внесенными в ЕГРН (предоставление коммунальных услуг (код 3.1.1))</w:t>
            </w:r>
          </w:p>
        </w:tc>
      </w:tr>
    </w:tbl>
    <w:p w:rsidR="00FA1F4E" w:rsidRDefault="00FA1F4E">
      <w:pPr>
        <w:ind w:firstLine="0"/>
        <w:rPr>
          <w:bCs/>
        </w:rPr>
      </w:pPr>
    </w:p>
    <w:p w:rsidR="00595864" w:rsidRDefault="00595864" w:rsidP="00595864">
      <w:pPr>
        <w:rPr>
          <w:rFonts w:cs="Times New Roman"/>
          <w:szCs w:val="24"/>
          <w:shd w:val="clear" w:color="auto" w:fill="FFFFFF"/>
        </w:rPr>
      </w:pPr>
      <w:r>
        <w:rPr>
          <w:rFonts w:cs="Times New Roman"/>
          <w:szCs w:val="24"/>
          <w:shd w:val="clear" w:color="auto" w:fill="FFFFFF"/>
        </w:rPr>
        <w:lastRenderedPageBreak/>
        <w:t>С учетом письма Лодейнопольского лесничества – филиала ЛОГКУ «ЛЕНОБЛЛЕС» п</w:t>
      </w:r>
      <w:r w:rsidRPr="00595864">
        <w:rPr>
          <w:rFonts w:cs="Times New Roman"/>
          <w:szCs w:val="24"/>
          <w:shd w:val="clear" w:color="auto" w:fill="FFFFFF"/>
        </w:rPr>
        <w:t xml:space="preserve">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предусмотрено </w:t>
      </w:r>
      <w:r>
        <w:rPr>
          <w:rFonts w:cs="Times New Roman"/>
          <w:szCs w:val="24"/>
          <w:shd w:val="clear" w:color="auto" w:fill="FFFFFF"/>
        </w:rPr>
        <w:t>ис</w:t>
      </w:r>
      <w:r w:rsidRPr="00595864">
        <w:rPr>
          <w:rFonts w:cs="Times New Roman"/>
          <w:szCs w:val="24"/>
          <w:shd w:val="clear" w:color="auto" w:fill="FFFFFF"/>
        </w:rPr>
        <w:t xml:space="preserve">ключение </w:t>
      </w:r>
      <w:r>
        <w:rPr>
          <w:rFonts w:cs="Times New Roman"/>
          <w:szCs w:val="24"/>
          <w:shd w:val="clear" w:color="auto" w:fill="FFFFFF"/>
        </w:rPr>
        <w:t>из границы населенного пункта г. Лодейное Поле</w:t>
      </w:r>
      <w:r w:rsidR="00DF4ED8">
        <w:rPr>
          <w:rFonts w:cs="Times New Roman"/>
          <w:szCs w:val="24"/>
          <w:shd w:val="clear" w:color="auto" w:fill="FFFFFF"/>
        </w:rPr>
        <w:t>, сведения о которой внесены в ЕГРН,</w:t>
      </w:r>
      <w:r>
        <w:rPr>
          <w:rFonts w:cs="Times New Roman"/>
          <w:szCs w:val="24"/>
          <w:shd w:val="clear" w:color="auto" w:fill="FFFFFF"/>
        </w:rPr>
        <w:t xml:space="preserve"> земель лесного фонда, </w:t>
      </w:r>
      <w:r w:rsidR="00DF4ED8">
        <w:rPr>
          <w:rFonts w:cs="Times New Roman"/>
          <w:szCs w:val="24"/>
          <w:shd w:val="clear" w:color="auto" w:fill="FFFFFF"/>
        </w:rPr>
        <w:t>ошибочно включенных в границу населенного пункта. С</w:t>
      </w:r>
      <w:r>
        <w:rPr>
          <w:rFonts w:cs="Times New Roman"/>
          <w:szCs w:val="24"/>
          <w:shd w:val="clear" w:color="auto" w:fill="FFFFFF"/>
        </w:rPr>
        <w:t xml:space="preserve">ведения о </w:t>
      </w:r>
      <w:r w:rsidR="00DF4ED8">
        <w:t>землях лесного фонда</w:t>
      </w:r>
      <w:r w:rsidR="00DF4ED8">
        <w:t>, которые исключаются из границ населенного пункта: город Лодейное Поле</w:t>
      </w:r>
      <w:r w:rsidR="00DF4ED8">
        <w:t>,</w:t>
      </w:r>
      <w:r w:rsidR="00DF4ED8">
        <w:rPr>
          <w:rFonts w:cs="Times New Roman"/>
          <w:szCs w:val="24"/>
          <w:shd w:val="clear" w:color="auto" w:fill="FFFFFF"/>
        </w:rPr>
        <w:t xml:space="preserve"> </w:t>
      </w:r>
      <w:r>
        <w:rPr>
          <w:rFonts w:cs="Times New Roman"/>
          <w:szCs w:val="24"/>
          <w:shd w:val="clear" w:color="auto" w:fill="FFFFFF"/>
        </w:rPr>
        <w:t>представлены в таблице 18.</w:t>
      </w:r>
    </w:p>
    <w:p w:rsidR="00595864" w:rsidRDefault="00595864" w:rsidP="00595864">
      <w:pPr>
        <w:ind w:firstLine="0"/>
        <w:rPr>
          <w:rFonts w:cs="Times New Roman"/>
          <w:szCs w:val="24"/>
          <w:shd w:val="clear" w:color="auto" w:fill="FFFFFF"/>
        </w:rPr>
      </w:pPr>
    </w:p>
    <w:p w:rsidR="00595864" w:rsidRDefault="00595864" w:rsidP="00595864">
      <w:pPr>
        <w:suppressAutoHyphens/>
        <w:jc w:val="center"/>
      </w:pPr>
      <w:r>
        <w:t>Таблица 1</w:t>
      </w:r>
      <w:r w:rsidR="00DF4ED8">
        <w:t>8</w:t>
      </w:r>
      <w:r>
        <w:t xml:space="preserve">. </w:t>
      </w:r>
      <w:r w:rsidR="00DF4ED8">
        <w:t>Сведения о</w:t>
      </w:r>
      <w:r>
        <w:t xml:space="preserve"> </w:t>
      </w:r>
      <w:r w:rsidR="00DF4ED8">
        <w:t>землях лесного фонда</w:t>
      </w:r>
      <w:r>
        <w:t xml:space="preserve">, которые </w:t>
      </w:r>
      <w:r w:rsidR="00DF4ED8">
        <w:t>ис</w:t>
      </w:r>
      <w:r>
        <w:t xml:space="preserve">ключаются </w:t>
      </w:r>
      <w:r w:rsidR="00DF4ED8">
        <w:t>из</w:t>
      </w:r>
      <w:r>
        <w:t xml:space="preserve"> границ населенного пункта: город Лодейное Поле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571"/>
        <w:gridCol w:w="2159"/>
        <w:gridCol w:w="1895"/>
        <w:gridCol w:w="1755"/>
      </w:tblGrid>
      <w:tr w:rsidR="00A2563E" w:rsidRPr="00A2563E" w:rsidTr="00B803C5">
        <w:trPr>
          <w:trHeight w:val="253"/>
          <w:tblHeader/>
          <w:jc w:val="center"/>
        </w:trPr>
        <w:tc>
          <w:tcPr>
            <w:tcW w:w="1459" w:type="pct"/>
            <w:vAlign w:val="center"/>
          </w:tcPr>
          <w:p w:rsidR="00B803C5" w:rsidRPr="00A2563E" w:rsidRDefault="00B803C5" w:rsidP="00A87669">
            <w:pPr>
              <w:autoSpaceDN w:val="0"/>
              <w:adjustRightInd w:val="0"/>
              <w:ind w:firstLine="0"/>
              <w:jc w:val="center"/>
            </w:pPr>
            <w:r w:rsidRPr="00A2563E">
              <w:rPr>
                <w:sz w:val="22"/>
              </w:rPr>
              <w:t>Участковое лесничество, квартал выдел</w:t>
            </w:r>
          </w:p>
        </w:tc>
        <w:tc>
          <w:tcPr>
            <w:tcW w:w="754" w:type="pct"/>
            <w:vAlign w:val="center"/>
          </w:tcPr>
          <w:p w:rsidR="00B803C5" w:rsidRPr="00A2563E" w:rsidRDefault="00B803C5" w:rsidP="00A87669">
            <w:pPr>
              <w:autoSpaceDN w:val="0"/>
              <w:adjustRightInd w:val="0"/>
              <w:ind w:firstLine="0"/>
              <w:jc w:val="center"/>
            </w:pPr>
            <w:r w:rsidRPr="00A2563E">
              <w:t>Площадь, га</w:t>
            </w:r>
          </w:p>
        </w:tc>
        <w:tc>
          <w:tcPr>
            <w:tcW w:w="1036" w:type="pct"/>
            <w:vAlign w:val="center"/>
          </w:tcPr>
          <w:p w:rsidR="00B803C5" w:rsidRPr="00A2563E" w:rsidRDefault="00B803C5" w:rsidP="00A87669">
            <w:pPr>
              <w:autoSpaceDN w:val="0"/>
              <w:adjustRightInd w:val="0"/>
              <w:ind w:firstLine="0"/>
              <w:jc w:val="center"/>
            </w:pPr>
            <w:r w:rsidRPr="00A2563E">
              <w:rPr>
                <w:sz w:val="22"/>
              </w:rPr>
              <w:t>Существующая категория земель</w:t>
            </w:r>
          </w:p>
        </w:tc>
        <w:tc>
          <w:tcPr>
            <w:tcW w:w="909" w:type="pct"/>
            <w:vAlign w:val="center"/>
          </w:tcPr>
          <w:p w:rsidR="00B803C5" w:rsidRPr="00A2563E" w:rsidRDefault="00B803C5" w:rsidP="00A87669">
            <w:pPr>
              <w:autoSpaceDN w:val="0"/>
              <w:adjustRightInd w:val="0"/>
              <w:ind w:firstLine="0"/>
              <w:jc w:val="center"/>
            </w:pPr>
            <w:r w:rsidRPr="00A2563E">
              <w:rPr>
                <w:sz w:val="22"/>
              </w:rPr>
              <w:t>Категория земель, в которую планируется включение земельного участка</w:t>
            </w:r>
          </w:p>
        </w:tc>
        <w:tc>
          <w:tcPr>
            <w:tcW w:w="842" w:type="pct"/>
            <w:vAlign w:val="center"/>
          </w:tcPr>
          <w:p w:rsidR="00B803C5" w:rsidRPr="00A2563E" w:rsidRDefault="00B803C5" w:rsidP="00A87669">
            <w:pPr>
              <w:pStyle w:val="320"/>
              <w:suppressAutoHyphens w:val="0"/>
              <w:spacing w:line="240" w:lineRule="auto"/>
              <w:jc w:val="center"/>
              <w:rPr>
                <w:szCs w:val="22"/>
              </w:rPr>
            </w:pPr>
            <w:r w:rsidRPr="00A2563E">
              <w:rPr>
                <w:sz w:val="22"/>
                <w:szCs w:val="22"/>
                <w:lang w:eastAsia="ru-RU"/>
              </w:rPr>
              <w:t>Цель планируемого использования</w:t>
            </w:r>
          </w:p>
        </w:tc>
      </w:tr>
      <w:tr w:rsidR="00A2563E" w:rsidRPr="00A2563E" w:rsidTr="00B803C5">
        <w:trPr>
          <w:trHeight w:val="253"/>
          <w:jc w:val="center"/>
        </w:trPr>
        <w:tc>
          <w:tcPr>
            <w:tcW w:w="1459" w:type="pct"/>
          </w:tcPr>
          <w:p w:rsidR="00B803C5" w:rsidRPr="00A2563E" w:rsidRDefault="00B803C5" w:rsidP="00A87669">
            <w:pPr>
              <w:autoSpaceDN w:val="0"/>
              <w:adjustRightInd w:val="0"/>
              <w:ind w:firstLine="0"/>
              <w:jc w:val="center"/>
            </w:pPr>
            <w:r w:rsidRPr="00A2563E">
              <w:t>Свирское участковое лесничество, квартал 126, выдела 19, 20, 21</w:t>
            </w:r>
          </w:p>
        </w:tc>
        <w:tc>
          <w:tcPr>
            <w:tcW w:w="754" w:type="pct"/>
          </w:tcPr>
          <w:p w:rsidR="00B803C5" w:rsidRPr="00A2563E" w:rsidRDefault="00B803C5" w:rsidP="00A87669">
            <w:pPr>
              <w:autoSpaceDN w:val="0"/>
              <w:adjustRightInd w:val="0"/>
              <w:ind w:firstLine="0"/>
              <w:jc w:val="center"/>
            </w:pPr>
            <w:r w:rsidRPr="00A2563E">
              <w:t>0,47</w:t>
            </w:r>
          </w:p>
        </w:tc>
        <w:tc>
          <w:tcPr>
            <w:tcW w:w="1036" w:type="pct"/>
          </w:tcPr>
          <w:p w:rsidR="00B803C5" w:rsidRPr="00A2563E" w:rsidRDefault="00B803C5" w:rsidP="00A87669">
            <w:pPr>
              <w:autoSpaceDN w:val="0"/>
              <w:adjustRightInd w:val="0"/>
              <w:ind w:firstLine="0"/>
              <w:jc w:val="center"/>
            </w:pPr>
            <w:r w:rsidRPr="00A2563E">
              <w:t>Земли населенных пунктов</w:t>
            </w:r>
          </w:p>
        </w:tc>
        <w:tc>
          <w:tcPr>
            <w:tcW w:w="909" w:type="pct"/>
          </w:tcPr>
          <w:p w:rsidR="00B803C5" w:rsidRPr="00A2563E" w:rsidRDefault="00B803C5" w:rsidP="00A87669">
            <w:pPr>
              <w:autoSpaceDN w:val="0"/>
              <w:adjustRightInd w:val="0"/>
              <w:ind w:firstLine="0"/>
              <w:jc w:val="center"/>
            </w:pPr>
            <w:r w:rsidRPr="00A2563E">
              <w:t>Земли лесного фонда</w:t>
            </w:r>
          </w:p>
        </w:tc>
        <w:tc>
          <w:tcPr>
            <w:tcW w:w="842" w:type="pct"/>
          </w:tcPr>
          <w:p w:rsidR="00B803C5" w:rsidRPr="00A2563E" w:rsidRDefault="00B803C5" w:rsidP="00A87669">
            <w:pPr>
              <w:autoSpaceDN w:val="0"/>
              <w:adjustRightInd w:val="0"/>
              <w:ind w:firstLine="0"/>
              <w:jc w:val="center"/>
              <w:rPr>
                <w:shd w:val="clear" w:color="auto" w:fill="FFFFFF"/>
              </w:rPr>
            </w:pPr>
            <w:r w:rsidRPr="00A2563E">
              <w:rPr>
                <w:shd w:val="clear" w:color="auto" w:fill="FFFFFF"/>
              </w:rPr>
              <w:t>Зона леса</w:t>
            </w:r>
          </w:p>
        </w:tc>
      </w:tr>
      <w:tr w:rsidR="00A2563E" w:rsidRPr="00A2563E" w:rsidTr="00B803C5">
        <w:trPr>
          <w:trHeight w:val="253"/>
          <w:jc w:val="center"/>
        </w:trPr>
        <w:tc>
          <w:tcPr>
            <w:tcW w:w="1459" w:type="pct"/>
          </w:tcPr>
          <w:p w:rsidR="00A2563E" w:rsidRPr="00A2563E" w:rsidRDefault="00A2563E" w:rsidP="00A2563E">
            <w:pPr>
              <w:autoSpaceDN w:val="0"/>
              <w:adjustRightInd w:val="0"/>
              <w:ind w:firstLine="0"/>
              <w:jc w:val="center"/>
            </w:pPr>
            <w:r w:rsidRPr="00A2563E">
              <w:t>Свирское участковое лесничество, квартал 141, выдела 25, 26</w:t>
            </w:r>
          </w:p>
        </w:tc>
        <w:tc>
          <w:tcPr>
            <w:tcW w:w="754" w:type="pct"/>
          </w:tcPr>
          <w:p w:rsidR="00A2563E" w:rsidRPr="00A2563E" w:rsidRDefault="00A2563E" w:rsidP="00A2563E">
            <w:pPr>
              <w:autoSpaceDN w:val="0"/>
              <w:adjustRightInd w:val="0"/>
              <w:ind w:firstLine="0"/>
              <w:jc w:val="center"/>
            </w:pPr>
            <w:r w:rsidRPr="00A2563E">
              <w:t>0,37</w:t>
            </w:r>
          </w:p>
        </w:tc>
        <w:tc>
          <w:tcPr>
            <w:tcW w:w="1036" w:type="pct"/>
          </w:tcPr>
          <w:p w:rsidR="00A2563E" w:rsidRPr="00A2563E" w:rsidRDefault="00A2563E" w:rsidP="00A2563E">
            <w:pPr>
              <w:autoSpaceDN w:val="0"/>
              <w:adjustRightInd w:val="0"/>
              <w:ind w:firstLine="0"/>
              <w:jc w:val="center"/>
            </w:pPr>
            <w:r w:rsidRPr="00A2563E">
              <w:t>Земли населенных пунктов</w:t>
            </w:r>
          </w:p>
        </w:tc>
        <w:tc>
          <w:tcPr>
            <w:tcW w:w="909" w:type="pct"/>
          </w:tcPr>
          <w:p w:rsidR="00A2563E" w:rsidRPr="00A2563E" w:rsidRDefault="00A2563E" w:rsidP="00A2563E">
            <w:pPr>
              <w:autoSpaceDN w:val="0"/>
              <w:adjustRightInd w:val="0"/>
              <w:ind w:firstLine="0"/>
              <w:jc w:val="center"/>
            </w:pPr>
            <w:r w:rsidRPr="00A2563E">
              <w:t>Земли лесного фонда</w:t>
            </w:r>
          </w:p>
        </w:tc>
        <w:tc>
          <w:tcPr>
            <w:tcW w:w="842" w:type="pct"/>
          </w:tcPr>
          <w:p w:rsidR="00A2563E" w:rsidRPr="00A2563E" w:rsidRDefault="00A2563E" w:rsidP="00A2563E">
            <w:pPr>
              <w:autoSpaceDN w:val="0"/>
              <w:adjustRightInd w:val="0"/>
              <w:ind w:firstLine="0"/>
              <w:jc w:val="center"/>
              <w:rPr>
                <w:shd w:val="clear" w:color="auto" w:fill="FFFFFF"/>
              </w:rPr>
            </w:pPr>
            <w:r w:rsidRPr="00A2563E">
              <w:rPr>
                <w:shd w:val="clear" w:color="auto" w:fill="FFFFFF"/>
              </w:rPr>
              <w:t>Зона леса</w:t>
            </w:r>
          </w:p>
        </w:tc>
      </w:tr>
      <w:tr w:rsidR="00A2563E" w:rsidRPr="00A2563E" w:rsidTr="00B803C5">
        <w:trPr>
          <w:trHeight w:val="253"/>
          <w:jc w:val="center"/>
        </w:trPr>
        <w:tc>
          <w:tcPr>
            <w:tcW w:w="1459" w:type="pct"/>
          </w:tcPr>
          <w:p w:rsidR="00A2563E" w:rsidRPr="00A2563E" w:rsidRDefault="00A2563E" w:rsidP="00A2563E">
            <w:pPr>
              <w:autoSpaceDN w:val="0"/>
              <w:adjustRightInd w:val="0"/>
              <w:ind w:firstLine="0"/>
              <w:jc w:val="center"/>
            </w:pPr>
            <w:r w:rsidRPr="00A2563E">
              <w:t>Свирское участковое лесничество, квартал 163, выдела 9, 10, 11</w:t>
            </w:r>
          </w:p>
        </w:tc>
        <w:tc>
          <w:tcPr>
            <w:tcW w:w="754" w:type="pct"/>
          </w:tcPr>
          <w:p w:rsidR="00A2563E" w:rsidRPr="00A2563E" w:rsidRDefault="00A2563E" w:rsidP="00A2563E">
            <w:pPr>
              <w:autoSpaceDN w:val="0"/>
              <w:adjustRightInd w:val="0"/>
              <w:ind w:firstLine="0"/>
              <w:jc w:val="center"/>
            </w:pPr>
            <w:r w:rsidRPr="00A2563E">
              <w:t>0,20</w:t>
            </w:r>
          </w:p>
        </w:tc>
        <w:tc>
          <w:tcPr>
            <w:tcW w:w="1036" w:type="pct"/>
          </w:tcPr>
          <w:p w:rsidR="00A2563E" w:rsidRPr="00A2563E" w:rsidRDefault="00A2563E" w:rsidP="00A2563E">
            <w:pPr>
              <w:autoSpaceDN w:val="0"/>
              <w:adjustRightInd w:val="0"/>
              <w:ind w:firstLine="0"/>
              <w:jc w:val="center"/>
            </w:pPr>
            <w:r w:rsidRPr="00A2563E">
              <w:t>Земли населенных пунктов</w:t>
            </w:r>
          </w:p>
        </w:tc>
        <w:tc>
          <w:tcPr>
            <w:tcW w:w="909" w:type="pct"/>
          </w:tcPr>
          <w:p w:rsidR="00A2563E" w:rsidRPr="00A2563E" w:rsidRDefault="00A2563E" w:rsidP="00A2563E">
            <w:pPr>
              <w:autoSpaceDN w:val="0"/>
              <w:adjustRightInd w:val="0"/>
              <w:ind w:firstLine="0"/>
              <w:jc w:val="center"/>
            </w:pPr>
            <w:r w:rsidRPr="00A2563E">
              <w:t>Земли лесного фонда</w:t>
            </w:r>
          </w:p>
        </w:tc>
        <w:tc>
          <w:tcPr>
            <w:tcW w:w="842" w:type="pct"/>
          </w:tcPr>
          <w:p w:rsidR="00A2563E" w:rsidRPr="00A2563E" w:rsidRDefault="00A2563E" w:rsidP="00A2563E">
            <w:pPr>
              <w:autoSpaceDN w:val="0"/>
              <w:adjustRightInd w:val="0"/>
              <w:ind w:firstLine="0"/>
              <w:jc w:val="center"/>
              <w:rPr>
                <w:shd w:val="clear" w:color="auto" w:fill="FFFFFF"/>
              </w:rPr>
            </w:pPr>
            <w:r w:rsidRPr="00A2563E">
              <w:rPr>
                <w:shd w:val="clear" w:color="auto" w:fill="FFFFFF"/>
              </w:rPr>
              <w:t>Зона леса</w:t>
            </w:r>
          </w:p>
        </w:tc>
      </w:tr>
      <w:tr w:rsidR="00A2563E" w:rsidRPr="00A2563E" w:rsidTr="00B803C5">
        <w:trPr>
          <w:trHeight w:val="253"/>
          <w:jc w:val="center"/>
        </w:trPr>
        <w:tc>
          <w:tcPr>
            <w:tcW w:w="1459" w:type="pct"/>
          </w:tcPr>
          <w:p w:rsidR="00A2563E" w:rsidRPr="00A2563E" w:rsidRDefault="00A2563E" w:rsidP="00A2563E">
            <w:pPr>
              <w:autoSpaceDN w:val="0"/>
              <w:adjustRightInd w:val="0"/>
              <w:ind w:firstLine="0"/>
              <w:jc w:val="center"/>
            </w:pPr>
            <w:r w:rsidRPr="00A2563E">
              <w:t>Свирское участковое лесничество, квартал 164, выдела 11</w:t>
            </w:r>
          </w:p>
        </w:tc>
        <w:tc>
          <w:tcPr>
            <w:tcW w:w="754" w:type="pct"/>
          </w:tcPr>
          <w:p w:rsidR="00A2563E" w:rsidRPr="00A2563E" w:rsidRDefault="00A2563E" w:rsidP="00A2563E">
            <w:pPr>
              <w:autoSpaceDN w:val="0"/>
              <w:adjustRightInd w:val="0"/>
              <w:ind w:firstLine="0"/>
              <w:jc w:val="center"/>
            </w:pPr>
            <w:r w:rsidRPr="00A2563E">
              <w:t>0,62</w:t>
            </w:r>
          </w:p>
        </w:tc>
        <w:tc>
          <w:tcPr>
            <w:tcW w:w="1036" w:type="pct"/>
          </w:tcPr>
          <w:p w:rsidR="00A2563E" w:rsidRPr="00A2563E" w:rsidRDefault="00A2563E" w:rsidP="00A2563E">
            <w:pPr>
              <w:autoSpaceDN w:val="0"/>
              <w:adjustRightInd w:val="0"/>
              <w:ind w:firstLine="0"/>
              <w:jc w:val="center"/>
            </w:pPr>
            <w:r w:rsidRPr="00A2563E">
              <w:t>Земли населенных пунктов</w:t>
            </w:r>
          </w:p>
        </w:tc>
        <w:tc>
          <w:tcPr>
            <w:tcW w:w="909" w:type="pct"/>
          </w:tcPr>
          <w:p w:rsidR="00A2563E" w:rsidRPr="00A2563E" w:rsidRDefault="00A2563E" w:rsidP="00A2563E">
            <w:pPr>
              <w:autoSpaceDN w:val="0"/>
              <w:adjustRightInd w:val="0"/>
              <w:ind w:firstLine="0"/>
              <w:jc w:val="center"/>
            </w:pPr>
            <w:r w:rsidRPr="00A2563E">
              <w:t>Земли лесного фонда</w:t>
            </w:r>
          </w:p>
        </w:tc>
        <w:tc>
          <w:tcPr>
            <w:tcW w:w="842" w:type="pct"/>
          </w:tcPr>
          <w:p w:rsidR="00A2563E" w:rsidRPr="00A2563E" w:rsidRDefault="00A2563E" w:rsidP="00A2563E">
            <w:pPr>
              <w:autoSpaceDN w:val="0"/>
              <w:adjustRightInd w:val="0"/>
              <w:ind w:firstLine="0"/>
              <w:jc w:val="center"/>
              <w:rPr>
                <w:shd w:val="clear" w:color="auto" w:fill="FFFFFF"/>
              </w:rPr>
            </w:pPr>
            <w:r w:rsidRPr="00A2563E">
              <w:rPr>
                <w:shd w:val="clear" w:color="auto" w:fill="FFFFFF"/>
              </w:rPr>
              <w:t>Зона леса</w:t>
            </w:r>
          </w:p>
        </w:tc>
      </w:tr>
    </w:tbl>
    <w:p w:rsidR="00595864" w:rsidRPr="00595864" w:rsidRDefault="00595864" w:rsidP="00595864">
      <w:pPr>
        <w:ind w:firstLine="0"/>
        <w:rPr>
          <w:rFonts w:cs="Times New Roman"/>
          <w:szCs w:val="24"/>
          <w:shd w:val="clear" w:color="auto" w:fill="FFFFFF"/>
        </w:rPr>
      </w:pPr>
    </w:p>
    <w:p w:rsidR="00FA1F4E" w:rsidRDefault="003B2CFF">
      <w:pPr>
        <w:pStyle w:val="1"/>
      </w:pPr>
      <w:bookmarkStart w:id="31" w:name="_Toc106831764"/>
      <w:bookmarkStart w:id="32" w:name="_Toc106831766"/>
      <w:r>
        <w:lastRenderedPageBreak/>
        <w:t>9. Оценка возможного влияния планируемых для размещения объектов местного значения поселения на комплексное развитие этих территорий</w:t>
      </w:r>
      <w:bookmarkEnd w:id="31"/>
    </w:p>
    <w:p w:rsidR="00FA1F4E" w:rsidRDefault="00FA1F4E"/>
    <w:p w:rsidR="00FA1F4E" w:rsidRDefault="003B2CFF">
      <w:r>
        <w:t xml:space="preserve">Изменение границы города Лодейное Поле с включением в нее земельных участков с кадастровыми номерами 47:06:0405001:405 и 47:06:0405001:406, на которых расположен объект местного значения поселения </w:t>
      </w:r>
      <w:r>
        <w:rPr>
          <w:rFonts w:cs="Times New Roman"/>
          <w:sz w:val="22"/>
        </w:rPr>
        <w:t>–</w:t>
      </w:r>
      <w:r>
        <w:t xml:space="preserve"> водоочистные сооружения поверхностного водозабора реки Свирь – создаст условия для возможности реализации мероприятий, включенных в региональную программу Ленинградской области «Повышение качества водоснабжения в Ленинградской области» на период с 2019 по 2024 годы, утвержденную постановлением Правительства Ленинградской области от 15 июня 2020 года № 395, в целях реализации федерального проекта «Чистая вода» национального проекта «Жилье и городская среда»: «Реконструкция водоочистных сооружений в г. Лодейное Поле Лодейнопольского муниципального района Ленинградской области». </w:t>
      </w:r>
    </w:p>
    <w:p w:rsidR="00FA1F4E" w:rsidRDefault="003B2CFF">
      <w:pPr>
        <w:pStyle w:val="a7"/>
        <w:tabs>
          <w:tab w:val="left" w:pos="993"/>
        </w:tabs>
        <w:spacing w:after="0"/>
        <w:ind w:firstLine="709"/>
        <w:jc w:val="both"/>
      </w:pPr>
      <w:r>
        <w:t>Учет в генеральном плане объекта местного значения (водоочистные сооружения г. Лодейное Поле, планируемые к реконструкции) является необходимым условием для достижения целевых показателей региональной программы Ленинградской области «Повышение качества водоснабжения в Ленинградской области»:</w:t>
      </w:r>
    </w:p>
    <w:p w:rsidR="00FA1F4E" w:rsidRDefault="003B2CFF">
      <w:pPr>
        <w:pStyle w:val="a7"/>
        <w:numPr>
          <w:ilvl w:val="0"/>
          <w:numId w:val="63"/>
        </w:numPr>
        <w:tabs>
          <w:tab w:val="left" w:pos="993"/>
        </w:tabs>
        <w:spacing w:after="0"/>
        <w:jc w:val="both"/>
      </w:pPr>
      <w:r>
        <w:t>реализация мероприятий по объекту позволит увеличить долю населения, обеспеченного качественной питьевой водой, на 0,037 %;</w:t>
      </w:r>
    </w:p>
    <w:p w:rsidR="00FA1F4E" w:rsidRDefault="003B2CFF">
      <w:pPr>
        <w:pStyle w:val="a7"/>
        <w:numPr>
          <w:ilvl w:val="0"/>
          <w:numId w:val="63"/>
        </w:numPr>
        <w:tabs>
          <w:tab w:val="left" w:pos="993"/>
        </w:tabs>
        <w:spacing w:after="0"/>
        <w:jc w:val="both"/>
      </w:pPr>
      <w:r>
        <w:t>прирост целевых показателей достигается за счет проведения реконструкции водоочистных сооружений и обеспечения 0,671 тыс. человек, проживающих на территории Лодейнопольского муниципального района, качественной питьевой водой.</w:t>
      </w:r>
    </w:p>
    <w:p w:rsidR="00FA1F4E" w:rsidRDefault="003B2CFF">
      <w:pPr>
        <w:pStyle w:val="a7"/>
        <w:tabs>
          <w:tab w:val="left" w:pos="993"/>
        </w:tabs>
        <w:spacing w:after="0"/>
        <w:ind w:firstLine="709"/>
        <w:jc w:val="both"/>
      </w:pPr>
      <w:r>
        <w:t>Целью региональной программы Ленинградской области «Повышение качества водоснабжения в Ленинградской области» на период с 2019 по 2024 годы является повышение качества питьевой воды для населения Ленинградской области. Целевыми показателями региональной программы являются: прирост численности (городского) населения, обеспеченного качественной питьевой водой из систем централизованного водоснабжения, после ввода объекта в эксплуатацию и прирост доли (городского) населения, обеспеченного качественной питьевой водой из систем централизованного водоснабжения, после ввода объекта в эксплуатацию, приведенный к общей численности (городского) населения субъекта Российской Федерации.</w:t>
      </w:r>
    </w:p>
    <w:p w:rsidR="00FA1F4E" w:rsidRDefault="003B2CFF">
      <w:pPr>
        <w:pStyle w:val="a7"/>
        <w:tabs>
          <w:tab w:val="left" w:pos="993"/>
        </w:tabs>
        <w:spacing w:after="0"/>
        <w:ind w:firstLine="709"/>
        <w:jc w:val="both"/>
      </w:pPr>
      <w:r>
        <w:t>Мероприятия по развитию объектов в области водоснабжения населения местного значения направлены на реализацию гарантий обеспечения потребностей населения Ленинградской области в качественной питьевой воде, утвержденных в соответствии со статьей 31 областного закона Ленинградской области от 22 марта 2021 года № 31-оз «О дополнительных социальных гарантиях и стандартах в Ленинградской области», реализация которого обеспечивает технологическое и социально-экономическое развитие Ленинградской области, а также повышение уровня жизни населения Ленинградской области.</w:t>
      </w:r>
    </w:p>
    <w:p w:rsidR="00FA1F4E" w:rsidRDefault="003B2CFF">
      <w:pPr>
        <w:pStyle w:val="a7"/>
        <w:tabs>
          <w:tab w:val="left" w:pos="993"/>
        </w:tabs>
        <w:spacing w:after="0"/>
        <w:ind w:firstLine="709"/>
        <w:jc w:val="both"/>
      </w:pPr>
      <w:r>
        <w:t>Внесение изменений в генеральный план в части уточнения сведений и параметров планируемых объектов местного значения в области водоснабжения населения и водоотведения также направлено на создание условий для реализации Инвестиционной программы Государственного унитарного предприятия «Водоканал Ленинградской области» по развитию систем водоснабжения и водоотведения Лодейнопольского района Ленинградской области на 2023 - 2033 годы, включая достижение следующих плановых значений показателей надежности, качества и энергетической эффективности объектов централизованных систем водоснабжения:</w:t>
      </w:r>
    </w:p>
    <w:p w:rsidR="00FA1F4E" w:rsidRDefault="003B2CFF">
      <w:pPr>
        <w:pStyle w:val="a7"/>
        <w:numPr>
          <w:ilvl w:val="0"/>
          <w:numId w:val="63"/>
        </w:numPr>
        <w:tabs>
          <w:tab w:val="left" w:pos="993"/>
        </w:tabs>
        <w:spacing w:after="0"/>
        <w:jc w:val="both"/>
      </w:pPr>
      <w:r>
        <w:t>снижение доли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FA1F4E" w:rsidRDefault="003B2CFF">
      <w:pPr>
        <w:pStyle w:val="a7"/>
        <w:numPr>
          <w:ilvl w:val="0"/>
          <w:numId w:val="63"/>
        </w:numPr>
        <w:tabs>
          <w:tab w:val="left" w:pos="993"/>
        </w:tabs>
        <w:spacing w:after="0"/>
        <w:jc w:val="both"/>
      </w:pPr>
      <w:r>
        <w:lastRenderedPageBreak/>
        <w:t>снижение доли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FA1F4E" w:rsidRDefault="003B2CFF">
      <w:pPr>
        <w:pStyle w:val="a7"/>
        <w:tabs>
          <w:tab w:val="left" w:pos="993"/>
        </w:tabs>
        <w:spacing w:after="0"/>
        <w:ind w:firstLine="709"/>
        <w:jc w:val="both"/>
      </w:pPr>
      <w:r>
        <w:t xml:space="preserve">С учетом части 4.1 статьи 9 Градостроительного кодекса Российской Федерации 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отсутствуют положения о территориальном планировании,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w:t>
      </w:r>
    </w:p>
    <w:p w:rsidR="00FA1F4E" w:rsidRDefault="003B2CFF">
      <w:pPr>
        <w:pStyle w:val="a7"/>
        <w:tabs>
          <w:tab w:val="left" w:pos="993"/>
        </w:tabs>
        <w:spacing w:after="0"/>
        <w:ind w:firstLine="709"/>
        <w:jc w:val="both"/>
      </w:pPr>
      <w:r>
        <w:t>Планируемые к реконструкции объекты местного значения поселения не оказывают негативного воздействия на объекты культурного наследия (памятники истории и культуры) федерального значения, объекты культурного наследия регионального значения и выявленные объекты культурного наследия, находящиеся на территории Ленинградской области.</w:t>
      </w:r>
    </w:p>
    <w:p w:rsidR="00FA1F4E" w:rsidRDefault="003B2CFF">
      <w:pPr>
        <w:pStyle w:val="a7"/>
        <w:tabs>
          <w:tab w:val="left" w:pos="993"/>
        </w:tabs>
        <w:spacing w:after="0"/>
        <w:ind w:firstLine="709"/>
        <w:jc w:val="both"/>
      </w:pPr>
      <w:r>
        <w:t>Планируемые к реконструкции объекты местного значения поселения не оказывают негативного воздействия на особо охраняемые природные территории федерального, регионального, местного значения.</w:t>
      </w:r>
    </w:p>
    <w:p w:rsidR="00FA1F4E" w:rsidRDefault="003B2CFF">
      <w:pPr>
        <w:pStyle w:val="a7"/>
        <w:tabs>
          <w:tab w:val="left" w:pos="993"/>
        </w:tabs>
        <w:spacing w:after="0"/>
        <w:ind w:firstLine="709"/>
        <w:jc w:val="both"/>
      </w:pPr>
      <w:r>
        <w:t>Планируемые к реконструкции объекты местного значения поселения при соблюдении Федерального закона от 30 марта 1999 года № 52-ФЗ «О санитарно-эпидемиологическом благополучии населения» и иных требований действующего законодательства не оказывают негативного воздействия на объекты жилой застройки, включая отдельные жилые дома, 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другие территории с нормируемыми показателями качества среды обитания.</w:t>
      </w:r>
    </w:p>
    <w:p w:rsidR="00FA1F4E" w:rsidRDefault="003B2CFF">
      <w:pPr>
        <w:pStyle w:val="a7"/>
        <w:tabs>
          <w:tab w:val="left" w:pos="993"/>
        </w:tabs>
        <w:spacing w:after="0"/>
        <w:ind w:firstLine="709"/>
        <w:jc w:val="both"/>
      </w:pPr>
      <w:r>
        <w:t>Планируемые к реконструкции объекты местного значения поселения не оказывают негативного воздействия на источники водоснабжения и водопроводы питьевого назначения.</w:t>
      </w:r>
    </w:p>
    <w:p w:rsidR="00FA1F4E" w:rsidRDefault="003B2CFF">
      <w:pPr>
        <w:pStyle w:val="a7"/>
        <w:tabs>
          <w:tab w:val="left" w:pos="993"/>
        </w:tabs>
        <w:spacing w:after="0"/>
        <w:ind w:firstLine="709"/>
        <w:jc w:val="both"/>
      </w:pPr>
      <w:r>
        <w:t>Планируемые к реконструкции объекты местного значения поселения не оказывают негативного воздействия на территории муниципальных образований, имеющих общую границу с Лодейнопольским городским поселением.</w:t>
      </w:r>
    </w:p>
    <w:p w:rsidR="00FA1F4E" w:rsidRDefault="00FA1F4E">
      <w:pPr>
        <w:pStyle w:val="a7"/>
        <w:tabs>
          <w:tab w:val="left" w:pos="993"/>
        </w:tabs>
        <w:spacing w:after="0"/>
        <w:ind w:firstLine="709"/>
        <w:jc w:val="both"/>
      </w:pPr>
    </w:p>
    <w:p w:rsidR="00FA1F4E" w:rsidRDefault="003B2CFF">
      <w:pPr>
        <w:pStyle w:val="a7"/>
        <w:tabs>
          <w:tab w:val="left" w:pos="993"/>
        </w:tabs>
        <w:spacing w:after="0"/>
        <w:ind w:firstLine="709"/>
        <w:jc w:val="both"/>
      </w:pPr>
      <w:r>
        <w:t>Сведения об изменении технико-экономических показателей в связи с внесением изменений в генеральный план, представлены в таблице 1</w:t>
      </w:r>
      <w:r w:rsidR="00DF4ED8">
        <w:t>9</w:t>
      </w:r>
      <w:r>
        <w:t>.</w:t>
      </w:r>
    </w:p>
    <w:p w:rsidR="00FA1F4E" w:rsidRDefault="00FA1F4E">
      <w:pPr>
        <w:pStyle w:val="a7"/>
        <w:tabs>
          <w:tab w:val="left" w:pos="993"/>
        </w:tabs>
        <w:spacing w:after="0"/>
        <w:jc w:val="both"/>
      </w:pPr>
    </w:p>
    <w:p w:rsidR="00FA1F4E" w:rsidRDefault="003B2CFF">
      <w:pPr>
        <w:pStyle w:val="a7"/>
        <w:tabs>
          <w:tab w:val="left" w:pos="993"/>
        </w:tabs>
        <w:spacing w:after="0"/>
        <w:jc w:val="center"/>
      </w:pPr>
      <w:r>
        <w:t>Таблица 1</w:t>
      </w:r>
      <w:r w:rsidR="00DF4ED8">
        <w:t>9</w:t>
      </w:r>
      <w:r>
        <w:t>. Сведения об изменении технико-экономических показателей в связи с внесением изменений в генеральный план</w:t>
      </w:r>
    </w:p>
    <w:tbl>
      <w:tblPr>
        <w:tblStyle w:val="116"/>
        <w:tblW w:w="5000" w:type="pct"/>
        <w:tblLook w:val="04A0" w:firstRow="1" w:lastRow="0" w:firstColumn="1" w:lastColumn="0" w:noHBand="0" w:noVBand="1"/>
      </w:tblPr>
      <w:tblGrid>
        <w:gridCol w:w="659"/>
        <w:gridCol w:w="4379"/>
        <w:gridCol w:w="1203"/>
        <w:gridCol w:w="2090"/>
        <w:gridCol w:w="2090"/>
      </w:tblGrid>
      <w:tr w:rsidR="00FA1F4E" w:rsidTr="00FA1F4E">
        <w:trPr>
          <w:trHeight w:val="20"/>
          <w:tblHeader/>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w:t>
            </w:r>
          </w:p>
        </w:tc>
        <w:tc>
          <w:tcPr>
            <w:tcW w:w="2101"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Показатели</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Единица измерения</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В соответствии с генеральным планом</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В соответствии с изменениями в генеральный план</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w:t>
            </w:r>
          </w:p>
        </w:tc>
        <w:tc>
          <w:tcPr>
            <w:tcW w:w="4684" w:type="pct"/>
            <w:gridSpan w:val="4"/>
            <w:tcBorders>
              <w:tl2br w:val="nil"/>
              <w:tr2bl w:val="nil"/>
            </w:tcBorders>
          </w:tcPr>
          <w:p w:rsidR="00FA1F4E" w:rsidRDefault="003B2CFF">
            <w:pPr>
              <w:ind w:firstLine="0"/>
              <w:jc w:val="left"/>
              <w:rPr>
                <w:rFonts w:eastAsia="Times New Roman" w:cs="Times New Roman"/>
                <w:iCs/>
                <w:sz w:val="22"/>
                <w:lang w:eastAsia="ru-RU"/>
              </w:rPr>
            </w:pPr>
            <w:r>
              <w:rPr>
                <w:rFonts w:eastAsia="Times New Roman" w:cs="Times New Roman"/>
                <w:iCs/>
                <w:sz w:val="22"/>
                <w:lang w:eastAsia="ru-RU"/>
              </w:rPr>
              <w:t>Категории земель</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1.1</w:t>
            </w: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Земли в границах муниципального образования Лодейнопольское городское поселение, всего:</w:t>
            </w:r>
          </w:p>
          <w:p w:rsidR="00FA1F4E" w:rsidRDefault="003B2CFF">
            <w:pPr>
              <w:ind w:firstLine="0"/>
              <w:rPr>
                <w:rFonts w:eastAsia="Times New Roman" w:cs="Times New Roman"/>
                <w:sz w:val="22"/>
                <w:lang w:eastAsia="ru-RU"/>
              </w:rPr>
            </w:pPr>
            <w:r>
              <w:rPr>
                <w:rFonts w:eastAsia="Times New Roman" w:cs="Times New Roman"/>
                <w:sz w:val="22"/>
                <w:lang w:eastAsia="ru-RU"/>
              </w:rPr>
              <w:t>в том числе:</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71824,71</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71824,71</w:t>
            </w:r>
          </w:p>
        </w:tc>
      </w:tr>
      <w:tr w:rsidR="00FA1F4E" w:rsidTr="00FA1F4E">
        <w:trPr>
          <w:trHeight w:val="20"/>
        </w:trPr>
        <w:tc>
          <w:tcPr>
            <w:tcW w:w="316" w:type="pct"/>
            <w:vMerge w:val="restart"/>
          </w:tcPr>
          <w:p w:rsidR="00FA1F4E" w:rsidRDefault="003B2CFF">
            <w:pPr>
              <w:ind w:firstLine="0"/>
              <w:jc w:val="center"/>
              <w:rPr>
                <w:rFonts w:eastAsia="Times New Roman" w:cs="Times New Roman"/>
                <w:sz w:val="22"/>
                <w:lang w:eastAsia="ru-RU"/>
              </w:rPr>
            </w:pPr>
            <w:r>
              <w:rPr>
                <w:rFonts w:eastAsia="Times New Roman" w:cs="Times New Roman"/>
                <w:sz w:val="22"/>
                <w:lang w:val="en-US" w:eastAsia="ru-RU"/>
              </w:rPr>
              <w:t>1.1</w:t>
            </w:r>
            <w:r>
              <w:rPr>
                <w:rFonts w:eastAsia="Times New Roman" w:cs="Times New Roman"/>
                <w:sz w:val="22"/>
                <w:lang w:eastAsia="ru-RU"/>
              </w:rPr>
              <w:t>.1</w:t>
            </w: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Земли населенных пунктов</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1945,32</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1948,62</w:t>
            </w:r>
          </w:p>
        </w:tc>
      </w:tr>
      <w:tr w:rsidR="00FA1F4E" w:rsidTr="00FA1F4E">
        <w:trPr>
          <w:trHeight w:val="20"/>
        </w:trPr>
        <w:tc>
          <w:tcPr>
            <w:tcW w:w="316" w:type="pct"/>
            <w:vMerge/>
          </w:tcPr>
          <w:p w:rsidR="00FA1F4E" w:rsidRDefault="00FA1F4E">
            <w:pPr>
              <w:ind w:firstLine="0"/>
              <w:jc w:val="center"/>
              <w:rPr>
                <w:rFonts w:eastAsia="Times New Roman" w:cs="Times New Roman"/>
                <w:sz w:val="22"/>
                <w:lang w:val="en-US" w:eastAsia="ru-RU"/>
              </w:rPr>
            </w:pP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в том числе в границах г. Лодейное Поле</w:t>
            </w:r>
          </w:p>
        </w:tc>
        <w:tc>
          <w:tcPr>
            <w:tcW w:w="577" w:type="pct"/>
          </w:tcPr>
          <w:p w:rsidR="00FA1F4E" w:rsidRDefault="00FA1F4E">
            <w:pPr>
              <w:ind w:firstLine="0"/>
              <w:jc w:val="center"/>
              <w:rPr>
                <w:rFonts w:eastAsia="Times New Roman" w:cs="Times New Roman"/>
                <w:sz w:val="22"/>
                <w:lang w:eastAsia="ru-RU"/>
              </w:rPr>
            </w:pP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1511,17</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1514,47</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1.1.2</w:t>
            </w: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 xml:space="preserve">Земли сельскохозяйственного назначения </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3902,89</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3901,78</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1.1.3</w:t>
            </w: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1534,36</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1532,17</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2</w:t>
            </w:r>
          </w:p>
        </w:tc>
        <w:tc>
          <w:tcPr>
            <w:tcW w:w="4684" w:type="pct"/>
            <w:gridSpan w:val="4"/>
            <w:tcBorders>
              <w:tl2br w:val="nil"/>
              <w:tr2bl w:val="nil"/>
            </w:tcBorders>
          </w:tcPr>
          <w:p w:rsidR="00FA1F4E" w:rsidRDefault="003B2CFF">
            <w:pPr>
              <w:ind w:firstLine="0"/>
              <w:jc w:val="left"/>
              <w:rPr>
                <w:rFonts w:eastAsia="Times New Roman" w:cs="Times New Roman"/>
                <w:sz w:val="22"/>
                <w:lang w:eastAsia="ru-RU"/>
              </w:rPr>
            </w:pPr>
            <w:r>
              <w:rPr>
                <w:rFonts w:eastAsia="Times New Roman" w:cs="Times New Roman"/>
                <w:sz w:val="22"/>
                <w:lang w:eastAsia="ru-RU"/>
              </w:rPr>
              <w:t>Население</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lastRenderedPageBreak/>
              <w:t>2.1</w:t>
            </w: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Общая численность населения</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тыс. чел.</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19,8</w:t>
            </w:r>
          </w:p>
        </w:tc>
        <w:tc>
          <w:tcPr>
            <w:tcW w:w="1003" w:type="pct"/>
            <w:tcBorders>
              <w:tl2br w:val="nil"/>
              <w:tr2bl w:val="nil"/>
            </w:tcBorders>
          </w:tcPr>
          <w:p w:rsidR="00FA1F4E" w:rsidRDefault="003B2CFF">
            <w:pPr>
              <w:ind w:firstLine="0"/>
              <w:jc w:val="center"/>
              <w:rPr>
                <w:rFonts w:eastAsia="Times New Roman" w:cs="Times New Roman"/>
                <w:iCs/>
                <w:sz w:val="22"/>
                <w:lang w:eastAsia="ru-RU"/>
              </w:rPr>
            </w:pPr>
            <w:r>
              <w:rPr>
                <w:rFonts w:eastAsia="Times New Roman" w:cs="Times New Roman"/>
                <w:iCs/>
                <w:sz w:val="22"/>
                <w:lang w:eastAsia="ru-RU"/>
              </w:rPr>
              <w:t>19,8</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w:t>
            </w:r>
          </w:p>
        </w:tc>
        <w:tc>
          <w:tcPr>
            <w:tcW w:w="4684" w:type="pct"/>
            <w:gridSpan w:val="4"/>
          </w:tcPr>
          <w:p w:rsidR="00FA1F4E" w:rsidRDefault="003B2CFF">
            <w:pPr>
              <w:ind w:firstLine="0"/>
              <w:jc w:val="left"/>
              <w:rPr>
                <w:rFonts w:eastAsia="Times New Roman" w:cs="Times New Roman"/>
                <w:i/>
                <w:iCs/>
                <w:sz w:val="22"/>
                <w:lang w:eastAsia="ru-RU"/>
              </w:rPr>
            </w:pPr>
            <w:r>
              <w:rPr>
                <w:rFonts w:eastAsia="Times New Roman" w:cs="Times New Roman"/>
                <w:sz w:val="22"/>
                <w:lang w:eastAsia="ru-RU"/>
              </w:rPr>
              <w:t>Функциональные зоны в границах г. Лодейное Поле</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w:t>
            </w:r>
          </w:p>
        </w:tc>
        <w:tc>
          <w:tcPr>
            <w:tcW w:w="2101" w:type="pct"/>
          </w:tcPr>
          <w:p w:rsidR="00FA1F4E" w:rsidRDefault="003B2CFF">
            <w:pPr>
              <w:ind w:firstLine="0"/>
              <w:jc w:val="left"/>
              <w:rPr>
                <w:rFonts w:eastAsia="Times New Roman" w:cs="Times New Roman"/>
                <w:sz w:val="22"/>
                <w:lang w:eastAsia="ru-RU"/>
              </w:rPr>
            </w:pPr>
            <w:r>
              <w:rPr>
                <w:rFonts w:eastAsia="Times New Roman" w:cs="Times New Roman"/>
                <w:sz w:val="22"/>
              </w:rPr>
              <w:t>Зона застройки индивидуальными жилыми домами (код Ж1)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lang w:eastAsia="ru-RU"/>
              </w:rPr>
            </w:pPr>
            <w:r>
              <w:rPr>
                <w:rFonts w:eastAsia="Times New Roman" w:cs="Times New Roman"/>
                <w:sz w:val="22"/>
              </w:rPr>
              <w:t>324,21</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329,75</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3.2</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застройки индивидуальными жилыми домами (код Ж1.1)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15,9</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3.3</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застройки малоэтажными жилыми домами (до 4 этажей, включая мансардный) (код Ж2)</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20,77</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18,81</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3.4</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застройки среднеэтажными жилыми домами (от 5 до 8 этажей, включая мансардный) (код Ж3)</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46,32</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39,81</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3.5</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застройки среднеэтажными жилыми домами (от 5 до 8 этажей, включая мансардный) (код Ж3.1)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8,01</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3.6</w:t>
            </w:r>
          </w:p>
          <w:p w:rsidR="00FA1F4E" w:rsidRDefault="00FA1F4E">
            <w:pPr>
              <w:ind w:firstLine="0"/>
              <w:jc w:val="center"/>
              <w:rPr>
                <w:rFonts w:eastAsia="Times New Roman" w:cs="Times New Roman"/>
                <w:sz w:val="22"/>
                <w:lang w:eastAsia="ru-RU"/>
              </w:rPr>
            </w:pPr>
          </w:p>
        </w:tc>
        <w:tc>
          <w:tcPr>
            <w:tcW w:w="2101" w:type="pct"/>
          </w:tcPr>
          <w:p w:rsidR="00FA1F4E" w:rsidRDefault="003B2CFF">
            <w:pPr>
              <w:ind w:firstLine="0"/>
              <w:jc w:val="left"/>
              <w:rPr>
                <w:rFonts w:eastAsia="Times New Roman" w:cs="Times New Roman"/>
                <w:sz w:val="22"/>
              </w:rPr>
            </w:pPr>
            <w:r>
              <w:rPr>
                <w:rFonts w:eastAsia="Times New Roman" w:cs="Times New Roman"/>
                <w:sz w:val="22"/>
              </w:rPr>
              <w:t>Общественно-деловая зона (код О1)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80,24</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74,23</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3.7</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Общественно-деловая зона (код О1.1)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13,43</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3.8</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Многофункциональная общественно-деловая зона (код О2)</w:t>
            </w:r>
          </w:p>
        </w:tc>
        <w:tc>
          <w:tcPr>
            <w:tcW w:w="577" w:type="pct"/>
          </w:tcPr>
          <w:p w:rsidR="00FA1F4E" w:rsidRDefault="00FA1F4E">
            <w:pPr>
              <w:ind w:firstLine="0"/>
              <w:jc w:val="center"/>
              <w:rPr>
                <w:rFonts w:eastAsia="Times New Roman" w:cs="Times New Roman"/>
                <w:sz w:val="22"/>
                <w:lang w:eastAsia="ru-RU"/>
              </w:rPr>
            </w:pPr>
          </w:p>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31,89</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31,89</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3.9</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Производственная зона (код П1)</w:t>
            </w:r>
          </w:p>
        </w:tc>
        <w:tc>
          <w:tcPr>
            <w:tcW w:w="577" w:type="pct"/>
          </w:tcPr>
          <w:p w:rsidR="00FA1F4E" w:rsidRDefault="00FA1F4E">
            <w:pPr>
              <w:ind w:firstLine="0"/>
              <w:jc w:val="center"/>
              <w:rPr>
                <w:rFonts w:eastAsia="Times New Roman" w:cs="Times New Roman"/>
                <w:sz w:val="22"/>
                <w:lang w:eastAsia="ru-RU"/>
              </w:rPr>
            </w:pPr>
          </w:p>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313,37</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303,95</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3.10</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Производственная зона (код П1.1)</w:t>
            </w:r>
          </w:p>
        </w:tc>
        <w:tc>
          <w:tcPr>
            <w:tcW w:w="577" w:type="pct"/>
          </w:tcPr>
          <w:p w:rsidR="00FA1F4E" w:rsidRDefault="00FA1F4E">
            <w:pPr>
              <w:ind w:firstLine="0"/>
              <w:jc w:val="center"/>
              <w:rPr>
                <w:rFonts w:eastAsia="Times New Roman" w:cs="Times New Roman"/>
                <w:sz w:val="22"/>
                <w:lang w:eastAsia="ru-RU"/>
              </w:rPr>
            </w:pPr>
          </w:p>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10,74</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3.11</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Коммунально-складская зона (код П2)</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5,07</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4,89</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3.12</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инженерной инфраструктуры (код И)</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36,26</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34,42</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3.13</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инженерной инфраструктуры (код И1)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4,3</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3.14</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озелененных территорий общего пользования (лесопарки, парки, сады, скверы, бульвары) (код Р1)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276,0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211,0</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3.15</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озелененных территорий общего пользования (лесопарки, парки, сады, скверы, бульвары) (код Р1.1)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55,9</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3.16</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отдыха (код Р2)</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4,11</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4,11</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3.17</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кладбищ (код Сп1)</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12,69</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12,69</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3.18</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озелененных территорий специального назначения (Сп3)</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118,8</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112,04</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3.19</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транспортной инфраструктуры (код Т)</w:t>
            </w:r>
          </w:p>
        </w:tc>
        <w:tc>
          <w:tcPr>
            <w:tcW w:w="577"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га</w:t>
            </w:r>
          </w:p>
        </w:tc>
        <w:tc>
          <w:tcPr>
            <w:tcW w:w="1003" w:type="pct"/>
          </w:tcPr>
          <w:p w:rsidR="00FA1F4E" w:rsidRDefault="003B2CFF">
            <w:pPr>
              <w:ind w:firstLine="0"/>
              <w:jc w:val="center"/>
              <w:rPr>
                <w:rFonts w:eastAsia="Times New Roman" w:cs="Times New Roman"/>
                <w:sz w:val="22"/>
              </w:rPr>
            </w:pPr>
            <w:r>
              <w:rPr>
                <w:rFonts w:eastAsia="Times New Roman" w:cs="Times New Roman"/>
                <w:sz w:val="22"/>
              </w:rPr>
              <w:t>241,44</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223,81</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3.20</w:t>
            </w:r>
          </w:p>
        </w:tc>
        <w:tc>
          <w:tcPr>
            <w:tcW w:w="2101" w:type="pct"/>
          </w:tcPr>
          <w:p w:rsidR="00FA1F4E" w:rsidRDefault="003B2CFF">
            <w:pPr>
              <w:ind w:firstLine="0"/>
              <w:jc w:val="left"/>
              <w:rPr>
                <w:rFonts w:eastAsia="Times New Roman" w:cs="Times New Roman"/>
                <w:sz w:val="22"/>
              </w:rPr>
            </w:pPr>
            <w:r>
              <w:rPr>
                <w:rFonts w:eastAsia="Times New Roman" w:cs="Times New Roman"/>
                <w:sz w:val="22"/>
              </w:rPr>
              <w:t>Зона транспортной инфраструктуры (код Т1)</w:t>
            </w:r>
          </w:p>
        </w:tc>
        <w:tc>
          <w:tcPr>
            <w:tcW w:w="577" w:type="pct"/>
          </w:tcPr>
          <w:p w:rsidR="00FA1F4E" w:rsidRDefault="00FA1F4E">
            <w:pPr>
              <w:ind w:firstLine="0"/>
              <w:jc w:val="center"/>
              <w:rPr>
                <w:rFonts w:eastAsia="Times New Roman" w:cs="Times New Roman"/>
                <w:sz w:val="22"/>
                <w:lang w:eastAsia="ru-RU"/>
              </w:rPr>
            </w:pPr>
          </w:p>
        </w:tc>
        <w:tc>
          <w:tcPr>
            <w:tcW w:w="1003" w:type="pct"/>
          </w:tcPr>
          <w:p w:rsidR="00FA1F4E" w:rsidRDefault="003B2CFF">
            <w:pPr>
              <w:ind w:firstLine="0"/>
              <w:jc w:val="center"/>
              <w:rPr>
                <w:rFonts w:eastAsia="Times New Roman" w:cs="Times New Roman"/>
                <w:sz w:val="22"/>
              </w:rPr>
            </w:pPr>
            <w:r>
              <w:rPr>
                <w:rFonts w:eastAsia="Times New Roman" w:cs="Times New Roman"/>
                <w:sz w:val="22"/>
              </w:rPr>
              <w:t>0</w:t>
            </w:r>
          </w:p>
        </w:tc>
        <w:tc>
          <w:tcPr>
            <w:tcW w:w="1003" w:type="pct"/>
            <w:tcBorders>
              <w:tl2br w:val="nil"/>
              <w:tr2bl w:val="nil"/>
            </w:tcBorders>
          </w:tcPr>
          <w:p w:rsidR="00FA1F4E" w:rsidRDefault="003B2CFF">
            <w:pPr>
              <w:ind w:firstLine="0"/>
              <w:jc w:val="center"/>
              <w:rPr>
                <w:rFonts w:eastAsia="Times New Roman" w:cs="Times New Roman"/>
                <w:sz w:val="22"/>
              </w:rPr>
            </w:pPr>
            <w:r>
              <w:rPr>
                <w:rFonts w:eastAsia="Times New Roman" w:cs="Times New Roman"/>
                <w:sz w:val="22"/>
              </w:rPr>
              <w:t>4,79</w:t>
            </w:r>
          </w:p>
        </w:tc>
      </w:tr>
      <w:tr w:rsidR="00FA1F4E" w:rsidTr="00FA1F4E">
        <w:trPr>
          <w:trHeight w:val="20"/>
        </w:trPr>
        <w:tc>
          <w:tcPr>
            <w:tcW w:w="316" w:type="pct"/>
          </w:tcPr>
          <w:p w:rsidR="00FA1F4E" w:rsidRDefault="003B2CFF">
            <w:pPr>
              <w:ind w:firstLine="0"/>
              <w:jc w:val="center"/>
              <w:rPr>
                <w:rFonts w:eastAsia="Times New Roman" w:cs="Times New Roman"/>
                <w:sz w:val="22"/>
                <w:lang w:eastAsia="ru-RU"/>
              </w:rPr>
            </w:pPr>
            <w:r>
              <w:rPr>
                <w:rFonts w:eastAsia="Times New Roman" w:cs="Times New Roman"/>
                <w:sz w:val="22"/>
                <w:lang w:eastAsia="ru-RU"/>
              </w:rPr>
              <w:t>4</w:t>
            </w:r>
          </w:p>
        </w:tc>
        <w:tc>
          <w:tcPr>
            <w:tcW w:w="2101" w:type="pct"/>
          </w:tcPr>
          <w:p w:rsidR="00FA1F4E" w:rsidRDefault="003B2CFF">
            <w:pPr>
              <w:ind w:firstLine="0"/>
              <w:rPr>
                <w:rFonts w:eastAsia="Times New Roman" w:cs="Times New Roman"/>
                <w:sz w:val="22"/>
                <w:lang w:eastAsia="ru-RU"/>
              </w:rPr>
            </w:pPr>
            <w:r>
              <w:rPr>
                <w:rFonts w:eastAsia="Times New Roman" w:cs="Times New Roman"/>
                <w:sz w:val="22"/>
                <w:lang w:eastAsia="ru-RU"/>
              </w:rPr>
              <w:t>Жилищный фонд</w:t>
            </w:r>
          </w:p>
        </w:tc>
        <w:tc>
          <w:tcPr>
            <w:tcW w:w="577" w:type="pct"/>
          </w:tcPr>
          <w:p w:rsidR="00FA1F4E" w:rsidRDefault="00FA1F4E">
            <w:pPr>
              <w:ind w:firstLine="0"/>
              <w:jc w:val="center"/>
              <w:rPr>
                <w:rFonts w:eastAsia="Times New Roman" w:cs="Times New Roman"/>
                <w:sz w:val="22"/>
                <w:lang w:eastAsia="ru-RU"/>
              </w:rPr>
            </w:pPr>
          </w:p>
        </w:tc>
        <w:tc>
          <w:tcPr>
            <w:tcW w:w="1003" w:type="pct"/>
          </w:tcPr>
          <w:p w:rsidR="00FA1F4E" w:rsidRDefault="00FA1F4E">
            <w:pPr>
              <w:ind w:firstLine="0"/>
              <w:jc w:val="center"/>
              <w:rPr>
                <w:rFonts w:eastAsia="Times New Roman" w:cs="Times New Roman"/>
                <w:sz w:val="22"/>
                <w:lang w:eastAsia="ru-RU"/>
              </w:rPr>
            </w:pPr>
          </w:p>
        </w:tc>
        <w:tc>
          <w:tcPr>
            <w:tcW w:w="1003" w:type="pct"/>
            <w:tcBorders>
              <w:tl2br w:val="nil"/>
              <w:tr2bl w:val="nil"/>
            </w:tcBorders>
          </w:tcPr>
          <w:p w:rsidR="00FA1F4E" w:rsidRDefault="00FA1F4E">
            <w:pPr>
              <w:ind w:firstLine="0"/>
              <w:jc w:val="center"/>
              <w:rPr>
                <w:rFonts w:eastAsia="Times New Roman" w:cs="Times New Roman"/>
                <w:i/>
                <w:iCs/>
                <w:sz w:val="22"/>
                <w:lang w:eastAsia="ru-RU"/>
              </w:rPr>
            </w:pPr>
          </w:p>
        </w:tc>
      </w:tr>
      <w:tr w:rsidR="00FA1F4E" w:rsidTr="00FA1F4E">
        <w:trPr>
          <w:trHeight w:val="20"/>
        </w:trPr>
        <w:tc>
          <w:tcPr>
            <w:tcW w:w="316" w:type="pct"/>
            <w:tcBorders>
              <w:tl2br w:val="nil"/>
              <w:tr2bl w:val="nil"/>
            </w:tcBorders>
          </w:tcPr>
          <w:p w:rsidR="00FA1F4E" w:rsidRDefault="003B2CFF">
            <w:pPr>
              <w:ind w:firstLine="0"/>
              <w:jc w:val="center"/>
              <w:rPr>
                <w:rFonts w:eastAsia="Times New Roman" w:cs="Times New Roman"/>
                <w:i/>
                <w:iCs/>
                <w:sz w:val="22"/>
                <w:lang w:eastAsia="ru-RU"/>
              </w:rPr>
            </w:pPr>
            <w:r>
              <w:rPr>
                <w:rFonts w:eastAsia="Times New Roman" w:cs="Times New Roman"/>
                <w:iCs/>
                <w:sz w:val="22"/>
                <w:lang w:eastAsia="ru-RU"/>
              </w:rPr>
              <w:t>4.1</w:t>
            </w:r>
          </w:p>
        </w:tc>
        <w:tc>
          <w:tcPr>
            <w:tcW w:w="2101" w:type="pct"/>
            <w:tcBorders>
              <w:tl2br w:val="nil"/>
              <w:tr2bl w:val="nil"/>
            </w:tcBorders>
          </w:tcPr>
          <w:p w:rsidR="00FA1F4E" w:rsidRDefault="003B2CFF">
            <w:pPr>
              <w:ind w:firstLine="0"/>
              <w:rPr>
                <w:rFonts w:eastAsia="Times New Roman" w:cs="Times New Roman"/>
                <w:i/>
                <w:iCs/>
                <w:sz w:val="22"/>
                <w:lang w:eastAsia="ru-RU"/>
              </w:rPr>
            </w:pPr>
            <w:r>
              <w:rPr>
                <w:rFonts w:eastAsia="Times New Roman" w:cs="Times New Roman"/>
                <w:iCs/>
                <w:sz w:val="22"/>
                <w:lang w:eastAsia="ru-RU"/>
              </w:rPr>
              <w:t>Общая площадь жилищного фонда г. Лодейное Поле</w:t>
            </w:r>
          </w:p>
        </w:tc>
        <w:tc>
          <w:tcPr>
            <w:tcW w:w="577" w:type="pct"/>
            <w:tcBorders>
              <w:tl2br w:val="nil"/>
              <w:tr2bl w:val="nil"/>
            </w:tcBorders>
          </w:tcPr>
          <w:p w:rsidR="00FA1F4E" w:rsidRDefault="003B2CFF">
            <w:pPr>
              <w:ind w:firstLine="0"/>
              <w:jc w:val="center"/>
              <w:rPr>
                <w:rFonts w:eastAsia="Times New Roman" w:cs="Times New Roman"/>
                <w:i/>
                <w:iCs/>
                <w:sz w:val="22"/>
                <w:lang w:eastAsia="ru-RU"/>
              </w:rPr>
            </w:pPr>
            <w:r>
              <w:rPr>
                <w:rFonts w:eastAsia="Times New Roman" w:cs="Times New Roman"/>
                <w:iCs/>
                <w:sz w:val="22"/>
                <w:lang w:eastAsia="ru-RU"/>
              </w:rPr>
              <w:t>тыс. м</w:t>
            </w:r>
            <w:r>
              <w:rPr>
                <w:rFonts w:eastAsia="Times New Roman" w:cs="Times New Roman"/>
                <w:iCs/>
                <w:sz w:val="22"/>
                <w:vertAlign w:val="superscript"/>
                <w:lang w:eastAsia="ru-RU"/>
              </w:rPr>
              <w:t>2</w:t>
            </w:r>
          </w:p>
        </w:tc>
        <w:tc>
          <w:tcPr>
            <w:tcW w:w="1003" w:type="pct"/>
            <w:tcBorders>
              <w:tl2br w:val="nil"/>
              <w:tr2bl w:val="nil"/>
            </w:tcBorders>
          </w:tcPr>
          <w:p w:rsidR="00FA1F4E" w:rsidRDefault="003B2CFF">
            <w:pPr>
              <w:ind w:firstLine="0"/>
              <w:jc w:val="center"/>
              <w:rPr>
                <w:rFonts w:eastAsia="Times New Roman" w:cs="Times New Roman"/>
                <w:i/>
                <w:iCs/>
                <w:sz w:val="22"/>
                <w:lang w:eastAsia="ru-RU"/>
              </w:rPr>
            </w:pPr>
            <w:r>
              <w:rPr>
                <w:rFonts w:eastAsia="Times New Roman" w:cs="Times New Roman"/>
                <w:iCs/>
                <w:sz w:val="22"/>
                <w:lang w:eastAsia="ru-RU"/>
              </w:rPr>
              <w:t>755,1</w:t>
            </w:r>
          </w:p>
        </w:tc>
        <w:tc>
          <w:tcPr>
            <w:tcW w:w="1003" w:type="pct"/>
            <w:tcBorders>
              <w:tl2br w:val="nil"/>
              <w:tr2bl w:val="nil"/>
            </w:tcBorders>
          </w:tcPr>
          <w:p w:rsidR="00FA1F4E" w:rsidRDefault="003B2CFF">
            <w:pPr>
              <w:ind w:firstLine="0"/>
              <w:jc w:val="center"/>
              <w:rPr>
                <w:rFonts w:eastAsia="Times New Roman" w:cs="Times New Roman"/>
                <w:i/>
                <w:iCs/>
                <w:sz w:val="22"/>
                <w:lang w:eastAsia="ru-RU"/>
              </w:rPr>
            </w:pPr>
            <w:r>
              <w:rPr>
                <w:rFonts w:eastAsia="Times New Roman" w:cs="Times New Roman"/>
                <w:iCs/>
                <w:sz w:val="22"/>
                <w:lang w:eastAsia="ru-RU"/>
              </w:rPr>
              <w:t>755,1</w:t>
            </w:r>
          </w:p>
        </w:tc>
      </w:tr>
    </w:tbl>
    <w:p w:rsidR="00FA1F4E" w:rsidRDefault="00FA1F4E">
      <w:pPr>
        <w:pStyle w:val="a7"/>
        <w:tabs>
          <w:tab w:val="left" w:pos="993"/>
        </w:tabs>
        <w:spacing w:after="0"/>
        <w:jc w:val="both"/>
      </w:pPr>
    </w:p>
    <w:p w:rsidR="00FA1F4E" w:rsidRDefault="003B2CFF">
      <w:pPr>
        <w:pStyle w:val="a7"/>
        <w:tabs>
          <w:tab w:val="left" w:pos="993"/>
        </w:tabs>
        <w:spacing w:after="0"/>
        <w:ind w:firstLine="709"/>
        <w:jc w:val="both"/>
      </w:pPr>
      <w:r>
        <w:t xml:space="preserve"> </w:t>
      </w:r>
    </w:p>
    <w:p w:rsidR="00FA1F4E" w:rsidRDefault="00FA1F4E">
      <w:pPr>
        <w:pStyle w:val="a7"/>
        <w:tabs>
          <w:tab w:val="left" w:pos="993"/>
        </w:tabs>
        <w:spacing w:after="0"/>
        <w:ind w:firstLine="709"/>
        <w:jc w:val="both"/>
      </w:pPr>
    </w:p>
    <w:p w:rsidR="00FA1F4E" w:rsidRDefault="003B2CFF">
      <w:pPr>
        <w:pStyle w:val="1"/>
      </w:pPr>
      <w:r>
        <w:lastRenderedPageBreak/>
        <w:t>10. Сведения о видах, назначении и наименованиях планируемых для размещения объектов федерального значения, утвержденных документами территориального планирования Российской Федерации</w:t>
      </w:r>
      <w:bookmarkEnd w:id="32"/>
    </w:p>
    <w:p w:rsidR="00FA1F4E" w:rsidRDefault="00FA1F4E"/>
    <w:p w:rsidR="00FA1F4E" w:rsidRDefault="003B2CFF">
      <w:r>
        <w:t>Планируемые объекты федерального значения в соответствии с документами территориального планирования Российской Федерации в границах территории, применительно к которой вносятся изменения в генеральный план, не предусмотрены.</w:t>
      </w:r>
    </w:p>
    <w:p w:rsidR="00FA1F4E" w:rsidRDefault="003B2CFF">
      <w:r>
        <w:t>В материалах по обоснованию дополнительно представлены сведения об объектах федерального значения, планируемых в соответствии с документами территориального планирования Российской Федерации на прилегающих территориях.</w:t>
      </w:r>
    </w:p>
    <w:p w:rsidR="00FA1F4E" w:rsidRDefault="003B2CFF">
      <w:pPr>
        <w:rPr>
          <w:rFonts w:cs="Times New Roman"/>
          <w:szCs w:val="24"/>
          <w:shd w:val="clear" w:color="auto" w:fill="FFFFFF"/>
        </w:rPr>
      </w:pPr>
      <w:r>
        <w:rPr>
          <w:rFonts w:cs="Times New Roman"/>
          <w:szCs w:val="24"/>
          <w:shd w:val="clear" w:color="auto" w:fill="FFFFFF"/>
        </w:rPr>
        <w:t xml:space="preserve">В соответствии со схемой территориального планирования Российской Федерации </w:t>
      </w:r>
      <w:r>
        <w:t>в области федерального транспорта (в части трубопроводного транспорта)</w:t>
      </w:r>
      <w:r>
        <w:rPr>
          <w:rFonts w:cs="Times New Roman"/>
          <w:szCs w:val="24"/>
          <w:shd w:val="clear" w:color="auto" w:fill="FFFFFF"/>
        </w:rPr>
        <w:t>, утверждённой распоряжением Правительства Российской Федерации от 6 мая 2015 года № 816-р (с изменениями и дополнениями) южнее города Лодейное Поле планируется к строительству магистральный газопровод «Газопровод Волхов – Сегежа – Костомукша» параллельно существующему магистральному газопроводу Волхов – Петрозаводск.</w:t>
      </w:r>
    </w:p>
    <w:p w:rsidR="00FA1F4E" w:rsidRDefault="003B2CFF">
      <w:pPr>
        <w:rPr>
          <w:rFonts w:cs="Times New Roman"/>
          <w:szCs w:val="24"/>
          <w:shd w:val="clear" w:color="auto" w:fill="FFFFFF"/>
        </w:rPr>
      </w:pPr>
      <w:r>
        <w:rPr>
          <w:rFonts w:cs="Times New Roman"/>
          <w:szCs w:val="24"/>
          <w:shd w:val="clear" w:color="auto" w:fill="FFFFFF"/>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года № 384-р (с изменениями и дополнениями), на прилегающих территориях планируется реконструкция объекта федерального значения в области транспорта: автомобильная дорога Р-21 «Кола» Санкт-Петербург – Петрозаводск – Мурманск – Печенга – граница с Королевством Норвегия. Реализация данного мероприятия планируется за границами территории, применительно к которой подготовлен генеральный план и отражена на карте «Карта развития объектов транспортной инфраструктуры».</w:t>
      </w:r>
    </w:p>
    <w:p w:rsidR="00FA1F4E" w:rsidRDefault="00FA1F4E">
      <w:pPr>
        <w:ind w:firstLine="0"/>
        <w:rPr>
          <w:rFonts w:cs="Times New Roman"/>
          <w:szCs w:val="24"/>
          <w:shd w:val="clear" w:color="auto" w:fill="FFFFFF"/>
        </w:rPr>
      </w:pPr>
    </w:p>
    <w:p w:rsidR="00FA1F4E" w:rsidRDefault="003B2CFF" w:rsidP="00C874DA">
      <w:pPr>
        <w:keepNext/>
        <w:ind w:firstLine="0"/>
        <w:jc w:val="center"/>
        <w:rPr>
          <w:sz w:val="22"/>
        </w:rPr>
      </w:pPr>
      <w:r>
        <w:t xml:space="preserve">Рисунок 5. Фрагмент карты планируемого размещения объектов федерального значения (материалы схемы </w:t>
      </w:r>
      <w:r>
        <w:rPr>
          <w:rFonts w:cs="Times New Roman"/>
          <w:szCs w:val="24"/>
          <w:shd w:val="clear" w:color="auto" w:fill="FFFFFF"/>
        </w:rPr>
        <w:t>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t>)</w:t>
      </w:r>
    </w:p>
    <w:p w:rsidR="00FA1F4E" w:rsidRDefault="003B2CFF" w:rsidP="00C874DA">
      <w:pPr>
        <w:keepNext/>
        <w:ind w:firstLine="0"/>
        <w:rPr>
          <w:rFonts w:cs="Times New Roman"/>
          <w:szCs w:val="24"/>
          <w:shd w:val="clear" w:color="auto" w:fill="FFFFFF"/>
        </w:rPr>
      </w:pPr>
      <w:r>
        <w:rPr>
          <w:rFonts w:cs="Times New Roman"/>
          <w:noProof/>
          <w:szCs w:val="24"/>
          <w:shd w:val="clear" w:color="auto" w:fill="FFFFFF"/>
          <w:lang w:eastAsia="ru-RU"/>
        </w:rPr>
        <w:drawing>
          <wp:inline distT="0" distB="0" distL="0" distR="0">
            <wp:extent cx="6343650" cy="3609975"/>
            <wp:effectExtent l="0" t="0" r="0" b="0"/>
            <wp:docPr id="2" name="Рисунок 2" descr="стп рф тран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тп рф транс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43650" cy="3609975"/>
                    </a:xfrm>
                    <a:prstGeom prst="rect">
                      <a:avLst/>
                    </a:prstGeom>
                    <a:noFill/>
                    <a:ln>
                      <a:noFill/>
                    </a:ln>
                  </pic:spPr>
                </pic:pic>
              </a:graphicData>
            </a:graphic>
          </wp:inline>
        </w:drawing>
      </w:r>
    </w:p>
    <w:p w:rsidR="00FA1F4E" w:rsidRDefault="00FA1F4E"/>
    <w:p w:rsidR="00FA1F4E" w:rsidRDefault="003B2CFF">
      <w:pPr>
        <w:rPr>
          <w:rFonts w:cs="Times New Roman"/>
          <w:szCs w:val="24"/>
          <w:shd w:val="clear" w:color="auto" w:fill="FFFFFF"/>
        </w:rPr>
      </w:pPr>
      <w:r>
        <w:rPr>
          <w:rFonts w:cs="Times New Roman"/>
          <w:szCs w:val="24"/>
          <w:shd w:val="clear" w:color="auto" w:fill="FFFFFF"/>
        </w:rPr>
        <w:lastRenderedPageBreak/>
        <w:t xml:space="preserve">Мероприятия по развитию объектов транспортной инфраструктуры </w:t>
      </w:r>
      <w:r>
        <w:t xml:space="preserve">федерального значения </w:t>
      </w:r>
      <w:r>
        <w:rPr>
          <w:rFonts w:cs="Times New Roman"/>
          <w:szCs w:val="24"/>
          <w:shd w:val="clear" w:color="auto" w:fill="FFFFFF"/>
        </w:rPr>
        <w:t>также включены в документы стратегического планирования, в том числе:</w:t>
      </w:r>
    </w:p>
    <w:p w:rsidR="00FA1F4E" w:rsidRDefault="003B2CFF">
      <w:pPr>
        <w:pStyle w:val="afff"/>
        <w:numPr>
          <w:ilvl w:val="0"/>
          <w:numId w:val="64"/>
        </w:numPr>
        <w:rPr>
          <w:rFonts w:cs="Times New Roman"/>
          <w:szCs w:val="24"/>
          <w:shd w:val="clear" w:color="auto" w:fill="FFFFFF"/>
        </w:rPr>
      </w:pPr>
      <w:r>
        <w:t>Транспортная стратегия Российской Федерации до 2030 года с прогнозом на период до 2035 года, утвержденная распоряжением Правительства Российской Федерации от 27 ноября 2021 года № 3363-р;</w:t>
      </w:r>
    </w:p>
    <w:p w:rsidR="00FA1F4E" w:rsidRDefault="003B2CFF">
      <w:pPr>
        <w:pStyle w:val="afff"/>
        <w:numPr>
          <w:ilvl w:val="0"/>
          <w:numId w:val="64"/>
        </w:numPr>
        <w:rPr>
          <w:rFonts w:cs="Times New Roman"/>
          <w:szCs w:val="24"/>
          <w:shd w:val="clear" w:color="auto" w:fill="FFFFFF"/>
        </w:rPr>
      </w:pPr>
      <w:r>
        <w:rPr>
          <w:rFonts w:cs="Times New Roman"/>
          <w:szCs w:val="24"/>
          <w:shd w:val="clear" w:color="auto" w:fill="FFFFFF"/>
        </w:rPr>
        <w:t>Комплексный план модернизации и расширения магистральной инфраструктуры на период до 2024 года, утверждённый распоряжением Правительства Российской Федерации 30 сентября 2018 года № 2101-р (с изменениями и дополнениями от 17 августа 2019 года, 13 марта, 4 июля 2020 года, 20 февраля, 28 декабря 2021 года, 13 апреля 2022 года);</w:t>
      </w:r>
    </w:p>
    <w:p w:rsidR="00FA1F4E" w:rsidRDefault="003B2CFF">
      <w:pPr>
        <w:pStyle w:val="afff"/>
        <w:numPr>
          <w:ilvl w:val="0"/>
          <w:numId w:val="64"/>
        </w:numPr>
        <w:rPr>
          <w:rFonts w:cs="Times New Roman"/>
          <w:szCs w:val="24"/>
          <w:shd w:val="clear" w:color="auto" w:fill="FFFFFF"/>
        </w:rPr>
      </w:pPr>
      <w:r>
        <w:rPr>
          <w:rFonts w:cs="Times New Roman"/>
          <w:szCs w:val="24"/>
          <w:shd w:val="clear" w:color="auto" w:fill="FFFFFF"/>
        </w:rPr>
        <w:t xml:space="preserve">долгосрочная программа развития ОАО «РЖД» до 2025 года, утвержденная распоряжением </w:t>
      </w:r>
      <w:r>
        <w:t>Правительства Российской Федерации от 19 марта 2019 года № 466-р (</w:t>
      </w:r>
      <w:r>
        <w:rPr>
          <w:rFonts w:cs="Times New Roman"/>
          <w:szCs w:val="24"/>
          <w:shd w:val="clear" w:color="auto" w:fill="FFFFFF"/>
        </w:rPr>
        <w:t>разработанная с учётом Послания Президента России Федеральному Собранию и Указа Президента от 7 мая 2018 года №204 «О национальных целях и стратегических задачах развития Российской Федерации на период до 2024 года», Комплексного плана модернизации и расширения магистральной инфраструктуры на период до 2024 года, Транспортной стратегии России на период до 2030 года, Стратегии развития железнодорожного транспорта в России до 2030 года, Стратегии инновационного развития России на период до 2020 года, Стратегии развития холдинга «РЖД» на период до 2030 года).</w:t>
      </w:r>
    </w:p>
    <w:p w:rsidR="00FA1F4E" w:rsidRDefault="003B2CFF">
      <w:pPr>
        <w:rPr>
          <w:rFonts w:cs="Times New Roman"/>
          <w:szCs w:val="24"/>
          <w:shd w:val="clear" w:color="auto" w:fill="FFFFFF"/>
        </w:rPr>
      </w:pPr>
      <w:r>
        <w:rPr>
          <w:rFonts w:cs="Times New Roman"/>
          <w:szCs w:val="24"/>
          <w:shd w:val="clear" w:color="auto" w:fill="FFFFFF"/>
        </w:rPr>
        <w:t>Планируемые объекты федерального значения в области транспорта в соответствии с действующими документами стратегического планирования включены в Стратегию развития транспортной системы Санкт-Петербурга и Ленинградской области на период до 2030 года, одобренную решением Координационного совета по развитию транспортной системы г. Санкт-Петербурга и Ленинградской области от 22 февраля 2022 года (протокол от 22 февраля 2022 года № 1). В соответствии с данными документами на территории города Лодейное Поле не предусмотрены строительство и (или) реконструкция объектов в области транспорта федерального значения.</w:t>
      </w:r>
    </w:p>
    <w:p w:rsidR="00FA1F4E" w:rsidRDefault="00FA1F4E">
      <w:pPr>
        <w:ind w:firstLine="0"/>
        <w:rPr>
          <w:rFonts w:cs="Times New Roman"/>
          <w:szCs w:val="24"/>
          <w:shd w:val="clear" w:color="auto" w:fill="FFFFFF"/>
        </w:rPr>
      </w:pPr>
    </w:p>
    <w:p w:rsidR="00FA1F4E" w:rsidRDefault="003B2CFF" w:rsidP="00C874DA">
      <w:pPr>
        <w:keepNext/>
        <w:ind w:firstLine="0"/>
        <w:jc w:val="center"/>
        <w:rPr>
          <w:rFonts w:cs="Times New Roman"/>
          <w:szCs w:val="24"/>
          <w:shd w:val="clear" w:color="auto" w:fill="FFFFFF"/>
        </w:rPr>
      </w:pPr>
      <w:r>
        <w:rPr>
          <w:rFonts w:cs="Times New Roman"/>
          <w:szCs w:val="24"/>
          <w:shd w:val="clear" w:color="auto" w:fill="FFFFFF"/>
        </w:rPr>
        <w:lastRenderedPageBreak/>
        <w:t>Рисунок 6. Крупные проекты развития железнодорожной инфраструктуры в Санкт-Петербурге и Ленинградской области на период до 2030 года (материалы Стратегии развития транспортной системы Санкт-Петербурга и Ленинградской области на период до 2030 года)</w:t>
      </w:r>
    </w:p>
    <w:p w:rsidR="00FA1F4E" w:rsidRDefault="00595864" w:rsidP="00C874DA">
      <w:pPr>
        <w:keepNext/>
        <w:ind w:firstLine="0"/>
        <w:jc w:val="center"/>
        <w:rPr>
          <w:rFonts w:cs="Times New Roman"/>
          <w:szCs w:val="24"/>
          <w:shd w:val="clear" w:color="auto" w:fill="FFFFFF"/>
        </w:rPr>
      </w:pPr>
      <w:r>
        <w:rPr>
          <w:rFonts w:cs="Times New Roman"/>
          <w:szCs w:val="24"/>
          <w:shd w:val="clear" w:color="auto" w:fill="FFFFFF"/>
        </w:rPr>
        <w:pict>
          <v:shape id="_x0000_i1028" type="#_x0000_t75" style="width:513.35pt;height:361.85pt">
            <v:imagedata r:id="rId14" o:title="Стратегия развития ТС СПб и ЛО-242"/>
          </v:shape>
        </w:pict>
      </w:r>
    </w:p>
    <w:p w:rsidR="00FA1F4E" w:rsidRDefault="00FA1F4E">
      <w:pPr>
        <w:ind w:firstLine="0"/>
        <w:rPr>
          <w:rFonts w:cs="Times New Roman"/>
          <w:szCs w:val="24"/>
          <w:shd w:val="clear" w:color="auto" w:fill="FFFFFF"/>
        </w:rPr>
      </w:pPr>
    </w:p>
    <w:p w:rsidR="00FA1F4E" w:rsidRDefault="003B2CFF">
      <w:pPr>
        <w:pStyle w:val="1"/>
      </w:pPr>
      <w:bookmarkStart w:id="33" w:name="_Toc106831767"/>
      <w:r>
        <w:lastRenderedPageBreak/>
        <w:t>11. Сведения о видах, назначении и наименованиях планируемых для размещения объектов регионального значения, утвержденные документами территориального планирования Ленинградской области</w:t>
      </w:r>
      <w:bookmarkEnd w:id="33"/>
    </w:p>
    <w:p w:rsidR="00FA1F4E" w:rsidRDefault="00FA1F4E"/>
    <w:p w:rsidR="00FA1F4E" w:rsidRDefault="003B2CFF">
      <w:pPr>
        <w:ind w:firstLine="720"/>
      </w:pPr>
      <w:r>
        <w:t>В настоящее время утверждены и размещены в федеральной государственной информационной системе территориального планирования следующие схемы территориального планирования Ленинградской области (подготовленные в соответствии со статьей 7 областного закона Ленинградской области от 14 декабря 2011 года № 108-оз «Об отдельных вопросах осуществления градостроительной деятельности на территории Ленинградской области» (с изменениями)):</w:t>
      </w:r>
    </w:p>
    <w:p w:rsidR="00FA1F4E" w:rsidRDefault="003B2CFF">
      <w:pPr>
        <w:pStyle w:val="afff"/>
        <w:numPr>
          <w:ilvl w:val="0"/>
          <w:numId w:val="65"/>
        </w:numPr>
      </w:pPr>
      <w:r>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17 июня 2021 года № 379;</w:t>
      </w:r>
    </w:p>
    <w:p w:rsidR="00FA1F4E" w:rsidRDefault="003B2CFF">
      <w:pPr>
        <w:pStyle w:val="afff"/>
        <w:numPr>
          <w:ilvl w:val="0"/>
          <w:numId w:val="65"/>
        </w:numPr>
      </w:pPr>
      <w: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14 июля 2021 года № 455;</w:t>
      </w:r>
    </w:p>
    <w:p w:rsidR="00FA1F4E" w:rsidRDefault="003B2CFF">
      <w:pPr>
        <w:pStyle w:val="afff"/>
        <w:numPr>
          <w:ilvl w:val="0"/>
          <w:numId w:val="65"/>
        </w:numPr>
      </w:pPr>
      <w: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17 июня 2021 года № 380;</w:t>
      </w:r>
    </w:p>
    <w:p w:rsidR="00FA1F4E" w:rsidRDefault="003B2CFF">
      <w:pPr>
        <w:pStyle w:val="afff"/>
        <w:numPr>
          <w:ilvl w:val="0"/>
          <w:numId w:val="65"/>
        </w:numPr>
      </w:pPr>
      <w:r>
        <w:t>схема территориального планирования Ленинградской области в области организации, охраны и использования особо охраняемых природных территорий, утвержденная постановлением Правительства Ленинградской области от 25 января 2022 года № 41;</w:t>
      </w:r>
    </w:p>
    <w:p w:rsidR="00FA1F4E" w:rsidRDefault="003B2CFF">
      <w:pPr>
        <w:pStyle w:val="afff"/>
        <w:numPr>
          <w:ilvl w:val="0"/>
          <w:numId w:val="65"/>
        </w:numPr>
      </w:pPr>
      <w:r>
        <w:t>схема территориального планирования Ленинградской области в области энергетики (за исключением электроэнергетики), утвержденная постановлением Правительства Ленинградской области от 8 июня 2021 года № 356;</w:t>
      </w:r>
    </w:p>
    <w:p w:rsidR="00FA1F4E" w:rsidRDefault="003B2CFF">
      <w:pPr>
        <w:pStyle w:val="afff"/>
        <w:numPr>
          <w:ilvl w:val="0"/>
          <w:numId w:val="65"/>
        </w:numPr>
      </w:pPr>
      <w:r>
        <w:t>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17 июня 2021 года № 381;</w:t>
      </w:r>
    </w:p>
    <w:p w:rsidR="00FA1F4E" w:rsidRDefault="003B2CFF">
      <w:pPr>
        <w:pStyle w:val="afff"/>
        <w:numPr>
          <w:ilvl w:val="0"/>
          <w:numId w:val="65"/>
        </w:numPr>
      </w:pPr>
      <w:r>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утвержденная постановлением Правительства Ленинградской области от 27 июля 2021 года № 480;</w:t>
      </w:r>
    </w:p>
    <w:p w:rsidR="00FA1F4E" w:rsidRDefault="003B2CFF">
      <w:pPr>
        <w:pStyle w:val="afff"/>
        <w:numPr>
          <w:ilvl w:val="0"/>
          <w:numId w:val="65"/>
        </w:numPr>
      </w:pPr>
      <w:r>
        <w:t>схема территориального планирования Ленинградской области в области обращения с отходами, в том числе с твердыми коммунальными отходами, утвержденная постановлением Правительства Ленинградской области от 14 декабря 2021 года № 806.</w:t>
      </w:r>
    </w:p>
    <w:p w:rsidR="00FA1F4E" w:rsidRDefault="003B2CFF">
      <w:pPr>
        <w:ind w:firstLine="720"/>
      </w:pPr>
      <w:r>
        <w:t>В соответствии с постановлениями Правительства Ленинградской области об утверждении схем территориального планирования Ленинградской области в различных областях схема территориального планирования Ленинградской области, утвержденная постановлением Правительства Ленинградской области от 29 декабря 2012 года № 460 (с изменениями) признается не подлежащей применению в соответствующих областях.</w:t>
      </w:r>
    </w:p>
    <w:p w:rsidR="00FA1F4E" w:rsidRDefault="003B2CFF">
      <w:r>
        <w:t xml:space="preserve">Сведения об объектах регионального значения, планируемых к размещению на территории, применительно к которой вносятся изменения в генеральный план, в соответствии с документами территориального планирования Ленинградской области, представлены в таблице </w:t>
      </w:r>
      <w:r w:rsidR="00DF4ED8">
        <w:t>20</w:t>
      </w:r>
      <w:bookmarkStart w:id="34" w:name="_GoBack"/>
      <w:bookmarkEnd w:id="34"/>
      <w:r>
        <w:t xml:space="preserve"> и на картах «Карта развития транспортной инфраструктуры», «Карта развития объектов социальной </w:t>
      </w:r>
      <w:r>
        <w:lastRenderedPageBreak/>
        <w:t>инфраструктуры, объектов в иных областях в связи с решением вопросов местного значения, регионального значения».</w:t>
      </w:r>
    </w:p>
    <w:p w:rsidR="00FA1F4E" w:rsidRDefault="003B2CFF">
      <w:r>
        <w:t>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изменения в части учета планируемых объектов регионального значения, предусмотренных в соответствии с документами территориального планирования Ленинградской области, не вносятся.</w:t>
      </w:r>
    </w:p>
    <w:p w:rsidR="00FA1F4E" w:rsidRDefault="00FA1F4E"/>
    <w:p w:rsidR="00FA1F4E" w:rsidRDefault="00FA1F4E">
      <w:pPr>
        <w:ind w:firstLine="0"/>
      </w:pPr>
    </w:p>
    <w:p w:rsidR="00FA1F4E" w:rsidRDefault="00FA1F4E">
      <w:pPr>
        <w:ind w:firstLine="0"/>
        <w:sectPr w:rsidR="00FA1F4E">
          <w:pgSz w:w="11906" w:h="16838"/>
          <w:pgMar w:top="1134" w:right="567" w:bottom="1134" w:left="1134" w:header="708" w:footer="708" w:gutter="0"/>
          <w:cols w:space="708"/>
          <w:titlePg/>
          <w:docGrid w:linePitch="360"/>
        </w:sectPr>
      </w:pPr>
    </w:p>
    <w:p w:rsidR="00FA1F4E" w:rsidRDefault="003B2CFF">
      <w:pPr>
        <w:ind w:firstLine="0"/>
        <w:jc w:val="center"/>
      </w:pPr>
      <w:r>
        <w:lastRenderedPageBreak/>
        <w:t xml:space="preserve">Таблица </w:t>
      </w:r>
      <w:r w:rsidR="00DF4ED8">
        <w:t>20</w:t>
      </w:r>
      <w:r>
        <w:t>. Сведения об объектах регионального значения, планируемых к размещению на территории, применительно к которой вносятся изменения в генеральный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268"/>
        <w:gridCol w:w="2126"/>
        <w:gridCol w:w="3685"/>
        <w:gridCol w:w="2268"/>
        <w:gridCol w:w="3904"/>
      </w:tblGrid>
      <w:tr w:rsidR="00FA1F4E">
        <w:trPr>
          <w:trHeight w:val="20"/>
          <w:tblHeader/>
        </w:trPr>
        <w:tc>
          <w:tcPr>
            <w:tcW w:w="181" w:type="pct"/>
            <w:shd w:val="clear" w:color="auto" w:fill="auto"/>
            <w:vAlign w:val="center"/>
          </w:tcPr>
          <w:p w:rsidR="00FA1F4E" w:rsidRDefault="003B2CFF">
            <w:pPr>
              <w:ind w:firstLine="0"/>
              <w:jc w:val="center"/>
            </w:pPr>
            <w:r>
              <w:rPr>
                <w:sz w:val="22"/>
              </w:rPr>
              <w:t>№</w:t>
            </w:r>
          </w:p>
        </w:tc>
        <w:tc>
          <w:tcPr>
            <w:tcW w:w="767" w:type="pct"/>
            <w:shd w:val="clear" w:color="auto" w:fill="auto"/>
            <w:vAlign w:val="center"/>
          </w:tcPr>
          <w:p w:rsidR="00FA1F4E" w:rsidRDefault="003B2CFF">
            <w:pPr>
              <w:ind w:firstLine="0"/>
              <w:jc w:val="center"/>
            </w:pPr>
            <w:r>
              <w:rPr>
                <w:sz w:val="22"/>
              </w:rPr>
              <w:t>Вид объекта</w:t>
            </w:r>
          </w:p>
        </w:tc>
        <w:tc>
          <w:tcPr>
            <w:tcW w:w="719" w:type="pct"/>
            <w:shd w:val="clear" w:color="auto" w:fill="auto"/>
            <w:vAlign w:val="center"/>
          </w:tcPr>
          <w:p w:rsidR="00FA1F4E" w:rsidRDefault="003B2CFF">
            <w:pPr>
              <w:ind w:firstLine="0"/>
              <w:jc w:val="center"/>
            </w:pPr>
            <w:r>
              <w:rPr>
                <w:sz w:val="22"/>
              </w:rPr>
              <w:t>Наименование</w:t>
            </w:r>
          </w:p>
        </w:tc>
        <w:tc>
          <w:tcPr>
            <w:tcW w:w="1246" w:type="pct"/>
            <w:shd w:val="clear" w:color="auto" w:fill="auto"/>
            <w:vAlign w:val="center"/>
          </w:tcPr>
          <w:p w:rsidR="00FA1F4E" w:rsidRDefault="003B2CFF">
            <w:pPr>
              <w:ind w:firstLine="0"/>
              <w:jc w:val="center"/>
            </w:pPr>
            <w:r>
              <w:rPr>
                <w:sz w:val="22"/>
              </w:rPr>
              <w:t>Параметры</w:t>
            </w:r>
          </w:p>
        </w:tc>
        <w:tc>
          <w:tcPr>
            <w:tcW w:w="767" w:type="pct"/>
            <w:shd w:val="clear" w:color="auto" w:fill="auto"/>
            <w:vAlign w:val="center"/>
          </w:tcPr>
          <w:p w:rsidR="00FA1F4E" w:rsidRDefault="003B2CFF">
            <w:pPr>
              <w:ind w:firstLine="0"/>
              <w:jc w:val="center"/>
            </w:pPr>
            <w:r>
              <w:rPr>
                <w:sz w:val="22"/>
              </w:rPr>
              <w:t>Сведения о зонах с особыми условиями использования территорий</w:t>
            </w:r>
          </w:p>
        </w:tc>
        <w:tc>
          <w:tcPr>
            <w:tcW w:w="1320" w:type="pct"/>
            <w:shd w:val="clear" w:color="auto" w:fill="auto"/>
            <w:vAlign w:val="center"/>
          </w:tcPr>
          <w:p w:rsidR="00FA1F4E" w:rsidRDefault="003B2CFF">
            <w:pPr>
              <w:ind w:firstLine="0"/>
              <w:jc w:val="center"/>
            </w:pPr>
            <w:r>
              <w:rPr>
                <w:sz w:val="22"/>
              </w:rPr>
              <w:t>Местоположение</w:t>
            </w:r>
          </w:p>
        </w:tc>
      </w:tr>
      <w:tr w:rsidR="00FA1F4E">
        <w:trPr>
          <w:trHeight w:val="20"/>
        </w:trPr>
        <w:tc>
          <w:tcPr>
            <w:tcW w:w="181" w:type="pct"/>
            <w:shd w:val="clear" w:color="auto" w:fill="auto"/>
            <w:vAlign w:val="center"/>
          </w:tcPr>
          <w:p w:rsidR="00FA1F4E" w:rsidRDefault="003B2CFF">
            <w:pPr>
              <w:ind w:firstLine="0"/>
              <w:jc w:val="center"/>
              <w:rPr>
                <w:b/>
              </w:rPr>
            </w:pPr>
            <w:r>
              <w:rPr>
                <w:b/>
                <w:sz w:val="22"/>
              </w:rPr>
              <w:t>1</w:t>
            </w:r>
          </w:p>
        </w:tc>
        <w:tc>
          <w:tcPr>
            <w:tcW w:w="4819" w:type="pct"/>
            <w:gridSpan w:val="5"/>
            <w:shd w:val="clear" w:color="auto" w:fill="auto"/>
            <w:vAlign w:val="center"/>
          </w:tcPr>
          <w:p w:rsidR="00FA1F4E" w:rsidRDefault="003B2CFF">
            <w:pPr>
              <w:ind w:firstLine="0"/>
              <w:rPr>
                <w:b/>
              </w:rPr>
            </w:pPr>
            <w:r>
              <w:rPr>
                <w:b/>
                <w:sz w:val="22"/>
              </w:rPr>
              <w:t>Объекты в соответствии со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tc>
      </w:tr>
      <w:tr w:rsidR="00FA1F4E">
        <w:trPr>
          <w:trHeight w:val="20"/>
        </w:trPr>
        <w:tc>
          <w:tcPr>
            <w:tcW w:w="181" w:type="pct"/>
            <w:shd w:val="clear" w:color="auto" w:fill="auto"/>
          </w:tcPr>
          <w:p w:rsidR="00FA1F4E" w:rsidRDefault="003B2CFF">
            <w:pPr>
              <w:ind w:firstLine="0"/>
              <w:jc w:val="center"/>
            </w:pPr>
            <w:r>
              <w:rPr>
                <w:sz w:val="22"/>
              </w:rPr>
              <w:t>1.1</w:t>
            </w:r>
          </w:p>
        </w:tc>
        <w:tc>
          <w:tcPr>
            <w:tcW w:w="767" w:type="pct"/>
            <w:shd w:val="clear" w:color="auto" w:fill="auto"/>
          </w:tcPr>
          <w:p w:rsidR="00FA1F4E" w:rsidRDefault="003B2CFF">
            <w:pPr>
              <w:ind w:firstLine="0"/>
            </w:pPr>
            <w:r>
              <w:rPr>
                <w:sz w:val="22"/>
              </w:rPr>
              <w:t>Автомобильные дороги регионального значения, планируемые к реконструкции на территории Ленинградской области</w:t>
            </w:r>
          </w:p>
        </w:tc>
        <w:tc>
          <w:tcPr>
            <w:tcW w:w="719" w:type="pct"/>
            <w:shd w:val="clear" w:color="auto" w:fill="auto"/>
          </w:tcPr>
          <w:p w:rsidR="00FA1F4E" w:rsidRDefault="003B2CFF">
            <w:pPr>
              <w:ind w:firstLine="0"/>
            </w:pPr>
            <w:r>
              <w:rPr>
                <w:sz w:val="22"/>
              </w:rPr>
              <w:t>Лодейное Поле – Тихвин – Будогощь – Чудово на участке Лодейное Поле – Тихвин – Будогощь</w:t>
            </w:r>
          </w:p>
        </w:tc>
        <w:tc>
          <w:tcPr>
            <w:tcW w:w="1246" w:type="pct"/>
            <w:shd w:val="clear" w:color="auto" w:fill="auto"/>
          </w:tcPr>
          <w:p w:rsidR="00FA1F4E" w:rsidRDefault="003B2CFF">
            <w:pPr>
              <w:ind w:firstLine="0"/>
            </w:pPr>
            <w:r>
              <w:rPr>
                <w:sz w:val="22"/>
              </w:rPr>
              <w:t>Назначение: 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p w:rsidR="00FA1F4E" w:rsidRDefault="003B2CFF">
            <w:pPr>
              <w:ind w:firstLine="0"/>
            </w:pPr>
            <w:r>
              <w:rPr>
                <w:sz w:val="22"/>
              </w:rPr>
              <w:t>Основные характеристики: Протяженность участка: км 0 – км 239,2.</w:t>
            </w:r>
          </w:p>
          <w:p w:rsidR="00FA1F4E" w:rsidRDefault="003B2CFF">
            <w:pPr>
              <w:ind w:firstLine="0"/>
            </w:pPr>
            <w:r>
              <w:rPr>
                <w:sz w:val="22"/>
              </w:rPr>
              <w:t>Техническая категория: II.</w:t>
            </w:r>
          </w:p>
          <w:p w:rsidR="00FA1F4E" w:rsidRDefault="003B2CFF">
            <w:pPr>
              <w:ind w:firstLine="0"/>
            </w:pPr>
            <w:r>
              <w:rPr>
                <w:sz w:val="22"/>
              </w:rPr>
              <w:t>Срок реализации: до 2040 года.</w:t>
            </w:r>
          </w:p>
        </w:tc>
        <w:tc>
          <w:tcPr>
            <w:tcW w:w="767" w:type="pct"/>
            <w:shd w:val="clear" w:color="auto" w:fill="auto"/>
          </w:tcPr>
          <w:p w:rsidR="00FA1F4E" w:rsidRDefault="003B2CFF">
            <w:pPr>
              <w:ind w:firstLine="0"/>
            </w:pPr>
            <w:r>
              <w:rPr>
                <w:sz w:val="22"/>
              </w:rPr>
              <w:t>Санитарный разрыв</w:t>
            </w:r>
          </w:p>
          <w:p w:rsidR="00FA1F4E" w:rsidRDefault="003B2CFF">
            <w:pPr>
              <w:ind w:firstLine="0"/>
            </w:pPr>
            <w:r>
              <w:rPr>
                <w:sz w:val="22"/>
              </w:rPr>
              <w:t>Придорожная полоса</w:t>
            </w:r>
          </w:p>
        </w:tc>
        <w:tc>
          <w:tcPr>
            <w:tcW w:w="1320" w:type="pct"/>
            <w:shd w:val="clear" w:color="auto" w:fill="auto"/>
          </w:tcPr>
          <w:p w:rsidR="00FA1F4E" w:rsidRDefault="003B2CFF">
            <w:pPr>
              <w:ind w:firstLine="0"/>
            </w:pPr>
            <w:r>
              <w:rPr>
                <w:sz w:val="22"/>
              </w:rPr>
              <w:t>Будогощское городское поселение, Пчевжинское сельское поселение Киришского муниципального района, Алёховщинское сельское поселение, Янегское сельское поселение, Лодейнопольское городское поселение Лодейнопольского муниципального района, Ганьковское сельское поселение, Борское сельское поселение, Тихвинское городское поселение, Цвылёвское сельское поселение Тихвинского муниципального района</w:t>
            </w:r>
          </w:p>
        </w:tc>
      </w:tr>
      <w:tr w:rsidR="00FA1F4E">
        <w:trPr>
          <w:trHeight w:val="20"/>
        </w:trPr>
        <w:tc>
          <w:tcPr>
            <w:tcW w:w="181" w:type="pct"/>
            <w:shd w:val="clear" w:color="auto" w:fill="auto"/>
            <w:vAlign w:val="center"/>
          </w:tcPr>
          <w:p w:rsidR="00FA1F4E" w:rsidRDefault="003B2CFF">
            <w:pPr>
              <w:ind w:firstLine="0"/>
              <w:jc w:val="center"/>
              <w:rPr>
                <w:b/>
              </w:rPr>
            </w:pPr>
            <w:r>
              <w:rPr>
                <w:b/>
                <w:sz w:val="22"/>
              </w:rPr>
              <w:t>2</w:t>
            </w:r>
          </w:p>
        </w:tc>
        <w:tc>
          <w:tcPr>
            <w:tcW w:w="4819" w:type="pct"/>
            <w:gridSpan w:val="5"/>
            <w:shd w:val="clear" w:color="auto" w:fill="auto"/>
            <w:vAlign w:val="center"/>
          </w:tcPr>
          <w:p w:rsidR="00FA1F4E" w:rsidRDefault="003B2CFF">
            <w:pPr>
              <w:ind w:firstLine="0"/>
              <w:rPr>
                <w:b/>
              </w:rPr>
            </w:pPr>
            <w:r>
              <w:rPr>
                <w:b/>
                <w:sz w:val="22"/>
              </w:rPr>
              <w:t>Объекты в соответствии со схемой территориального планирования Ленинградской области в области электроэнергетики</w:t>
            </w:r>
          </w:p>
        </w:tc>
      </w:tr>
      <w:tr w:rsidR="00FA1F4E">
        <w:trPr>
          <w:trHeight w:val="20"/>
        </w:trPr>
        <w:tc>
          <w:tcPr>
            <w:tcW w:w="181" w:type="pct"/>
            <w:shd w:val="clear" w:color="auto" w:fill="auto"/>
          </w:tcPr>
          <w:p w:rsidR="00FA1F4E" w:rsidRDefault="003B2CFF">
            <w:pPr>
              <w:ind w:firstLine="0"/>
              <w:jc w:val="center"/>
            </w:pPr>
            <w:r>
              <w:rPr>
                <w:sz w:val="22"/>
              </w:rPr>
              <w:t>2.1</w:t>
            </w:r>
          </w:p>
        </w:tc>
        <w:tc>
          <w:tcPr>
            <w:tcW w:w="767" w:type="pct"/>
            <w:shd w:val="clear" w:color="auto" w:fill="auto"/>
          </w:tcPr>
          <w:p w:rsidR="00FA1F4E" w:rsidRDefault="003B2CFF">
            <w:pPr>
              <w:ind w:firstLine="0"/>
            </w:pPr>
            <w:r>
              <w:rPr>
                <w:sz w:val="22"/>
              </w:rPr>
              <w:t>Линия электропередачи 35 кВ, планируемая к реконструкции</w:t>
            </w:r>
          </w:p>
        </w:tc>
        <w:tc>
          <w:tcPr>
            <w:tcW w:w="719" w:type="pct"/>
            <w:shd w:val="clear" w:color="auto" w:fill="auto"/>
          </w:tcPr>
          <w:p w:rsidR="00FA1F4E" w:rsidRDefault="003B2CFF">
            <w:pPr>
              <w:ind w:firstLine="0"/>
            </w:pPr>
            <w:r>
              <w:rPr>
                <w:sz w:val="22"/>
              </w:rPr>
              <w:t>ВЛ 35 кВ «Линия 33» (от ПС 35/6 кВ № 31 «Лодейнопольская» до ПС 110/35/10 кВ № 323 «Алеховщинская») в пролетах опор от № 17 до № 78)</w:t>
            </w:r>
          </w:p>
        </w:tc>
        <w:tc>
          <w:tcPr>
            <w:tcW w:w="1246" w:type="pct"/>
            <w:shd w:val="clear" w:color="auto" w:fill="auto"/>
          </w:tcPr>
          <w:p w:rsidR="00FA1F4E" w:rsidRDefault="003B2CFF">
            <w:pPr>
              <w:ind w:firstLine="0"/>
            </w:pPr>
            <w:r>
              <w:rPr>
                <w:sz w:val="22"/>
              </w:rPr>
              <w:t>Назначение: Повышение надежности электроснабжения.</w:t>
            </w:r>
          </w:p>
          <w:p w:rsidR="00FA1F4E" w:rsidRDefault="003B2CFF">
            <w:pPr>
              <w:ind w:firstLine="0"/>
            </w:pPr>
            <w:r>
              <w:rPr>
                <w:sz w:val="22"/>
              </w:rPr>
              <w:t>Срок реализации: до 2025 года.</w:t>
            </w:r>
          </w:p>
          <w:p w:rsidR="00FA1F4E" w:rsidRDefault="003B2CFF">
            <w:pPr>
              <w:ind w:firstLine="0"/>
            </w:pPr>
            <w:r>
              <w:rPr>
                <w:sz w:val="22"/>
              </w:rPr>
              <w:t>Протяженность: 10,3 км.</w:t>
            </w:r>
          </w:p>
          <w:p w:rsidR="00FA1F4E" w:rsidRDefault="003B2CFF">
            <w:pPr>
              <w:ind w:firstLine="0"/>
            </w:pPr>
            <w:r>
              <w:rPr>
                <w:sz w:val="22"/>
              </w:rPr>
              <w:t>Наименование мероприятия: амортизация сетей с учетом реновации аварийных сетевых сооружений</w:t>
            </w:r>
          </w:p>
        </w:tc>
        <w:tc>
          <w:tcPr>
            <w:tcW w:w="767" w:type="pct"/>
            <w:shd w:val="clear" w:color="auto" w:fill="auto"/>
          </w:tcPr>
          <w:p w:rsidR="00FA1F4E" w:rsidRDefault="003B2CFF">
            <w:pPr>
              <w:ind w:firstLine="0"/>
            </w:pPr>
            <w:r>
              <w:rPr>
                <w:sz w:val="22"/>
              </w:rPr>
              <w:t>Охранная зона</w:t>
            </w:r>
          </w:p>
        </w:tc>
        <w:tc>
          <w:tcPr>
            <w:tcW w:w="1320" w:type="pct"/>
            <w:shd w:val="clear" w:color="auto" w:fill="auto"/>
          </w:tcPr>
          <w:p w:rsidR="00FA1F4E" w:rsidRDefault="003B2CFF">
            <w:pPr>
              <w:tabs>
                <w:tab w:val="left" w:pos="1155"/>
              </w:tabs>
              <w:ind w:firstLine="0"/>
            </w:pPr>
            <w:r>
              <w:rPr>
                <w:sz w:val="22"/>
              </w:rPr>
              <w:t>Алеховщинское сельское поселение, Лодейнопольское городское поселение, Янегское сельское поселение Лодейнопольского муниципального района</w:t>
            </w:r>
          </w:p>
        </w:tc>
      </w:tr>
      <w:tr w:rsidR="00FA1F4E">
        <w:trPr>
          <w:trHeight w:val="20"/>
        </w:trPr>
        <w:tc>
          <w:tcPr>
            <w:tcW w:w="181" w:type="pct"/>
            <w:shd w:val="clear" w:color="auto" w:fill="auto"/>
            <w:vAlign w:val="center"/>
          </w:tcPr>
          <w:p w:rsidR="00FA1F4E" w:rsidRDefault="003B2CFF">
            <w:pPr>
              <w:ind w:firstLine="0"/>
              <w:jc w:val="center"/>
              <w:rPr>
                <w:b/>
              </w:rPr>
            </w:pPr>
            <w:r>
              <w:rPr>
                <w:b/>
                <w:sz w:val="22"/>
              </w:rPr>
              <w:t>3</w:t>
            </w:r>
          </w:p>
        </w:tc>
        <w:tc>
          <w:tcPr>
            <w:tcW w:w="4819" w:type="pct"/>
            <w:gridSpan w:val="5"/>
            <w:shd w:val="clear" w:color="auto" w:fill="auto"/>
            <w:vAlign w:val="center"/>
          </w:tcPr>
          <w:p w:rsidR="00FA1F4E" w:rsidRDefault="003B2CFF">
            <w:pPr>
              <w:ind w:firstLine="0"/>
              <w:rPr>
                <w:b/>
              </w:rPr>
            </w:pPr>
            <w:r>
              <w:rPr>
                <w:b/>
                <w:sz w:val="22"/>
              </w:rPr>
              <w:t>Объекты в соответствии со схемой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FA1F4E">
        <w:trPr>
          <w:trHeight w:val="20"/>
        </w:trPr>
        <w:tc>
          <w:tcPr>
            <w:tcW w:w="181" w:type="pct"/>
            <w:shd w:val="clear" w:color="auto" w:fill="auto"/>
          </w:tcPr>
          <w:p w:rsidR="00FA1F4E" w:rsidRDefault="003B2CFF">
            <w:pPr>
              <w:ind w:firstLine="0"/>
              <w:jc w:val="center"/>
            </w:pPr>
            <w:r>
              <w:rPr>
                <w:sz w:val="22"/>
              </w:rPr>
              <w:t>3.1</w:t>
            </w:r>
          </w:p>
        </w:tc>
        <w:tc>
          <w:tcPr>
            <w:tcW w:w="767" w:type="pct"/>
            <w:shd w:val="clear" w:color="auto" w:fill="auto"/>
          </w:tcPr>
          <w:p w:rsidR="00FA1F4E" w:rsidRDefault="003B2CFF">
            <w:pPr>
              <w:ind w:firstLine="0"/>
            </w:pPr>
            <w:r>
              <w:rPr>
                <w:sz w:val="22"/>
              </w:rPr>
              <w:t xml:space="preserve">Объекты, обеспечивающие на территории Ленинградской области проведение </w:t>
            </w:r>
            <w:r>
              <w:rPr>
                <w:sz w:val="22"/>
              </w:rPr>
              <w:lastRenderedPageBreak/>
              <w:t>мероприятий по предупреждению и ликвидации болезней животных, защите населения от болезней, общих для человека и животных</w:t>
            </w:r>
          </w:p>
        </w:tc>
        <w:tc>
          <w:tcPr>
            <w:tcW w:w="719" w:type="pct"/>
            <w:shd w:val="clear" w:color="auto" w:fill="auto"/>
          </w:tcPr>
          <w:p w:rsidR="00FA1F4E" w:rsidRDefault="003B2CFF">
            <w:pPr>
              <w:ind w:firstLine="0"/>
            </w:pPr>
            <w:r>
              <w:rPr>
                <w:sz w:val="22"/>
              </w:rPr>
              <w:lastRenderedPageBreak/>
              <w:t xml:space="preserve">Ветеринарная лечебница, питомник животных, кинологический </w:t>
            </w:r>
            <w:r>
              <w:rPr>
                <w:sz w:val="22"/>
              </w:rPr>
              <w:lastRenderedPageBreak/>
              <w:t>центр, иной подобный объект (ГБУ ЛО «Станция по борьбе с болезнями животных Лодейнопольского и Подпорожского районов»)</w:t>
            </w:r>
          </w:p>
        </w:tc>
        <w:tc>
          <w:tcPr>
            <w:tcW w:w="1246" w:type="pct"/>
            <w:shd w:val="clear" w:color="auto" w:fill="auto"/>
          </w:tcPr>
          <w:p w:rsidR="00FA1F4E" w:rsidRDefault="003B2CFF">
            <w:pPr>
              <w:ind w:firstLine="0"/>
            </w:pPr>
            <w:r>
              <w:rPr>
                <w:sz w:val="22"/>
              </w:rPr>
              <w:lastRenderedPageBreak/>
              <w:t>Срок реализации: до 2030 года.</w:t>
            </w:r>
          </w:p>
          <w:p w:rsidR="00FA1F4E" w:rsidRDefault="003B2CFF">
            <w:pPr>
              <w:ind w:firstLine="0"/>
            </w:pPr>
            <w:r>
              <w:rPr>
                <w:sz w:val="22"/>
              </w:rPr>
              <w:t>Основные характеристики: до 2030 года.</w:t>
            </w:r>
          </w:p>
          <w:p w:rsidR="00FA1F4E" w:rsidRDefault="003B2CFF">
            <w:pPr>
              <w:ind w:firstLine="0"/>
            </w:pPr>
            <w:r>
              <w:rPr>
                <w:sz w:val="22"/>
              </w:rPr>
              <w:t xml:space="preserve">Основные характеристики: строительство здания ветеринарной </w:t>
            </w:r>
            <w:r>
              <w:rPr>
                <w:sz w:val="22"/>
              </w:rPr>
              <w:lastRenderedPageBreak/>
              <w:t>станции и ветеринарной лечебницы на земельном участке с кадастровым номером 47:06:0102006:21 по адресу Ленинградская область, Лодейнопольский район, г. Лодейное Поле, Республиканский тракт, д. 30.</w:t>
            </w:r>
          </w:p>
          <w:p w:rsidR="00FA1F4E" w:rsidRDefault="003B2CFF">
            <w:pPr>
              <w:ind w:firstLine="0"/>
            </w:pPr>
            <w:r>
              <w:rPr>
                <w:sz w:val="22"/>
              </w:rPr>
              <w:t>Статус объекта: планируемый к размещению.</w:t>
            </w:r>
          </w:p>
        </w:tc>
        <w:tc>
          <w:tcPr>
            <w:tcW w:w="767" w:type="pct"/>
            <w:shd w:val="clear" w:color="auto" w:fill="auto"/>
          </w:tcPr>
          <w:p w:rsidR="00FA1F4E" w:rsidRDefault="003B2CFF">
            <w:pPr>
              <w:ind w:firstLine="0"/>
            </w:pPr>
            <w:r>
              <w:rPr>
                <w:sz w:val="22"/>
              </w:rPr>
              <w:lastRenderedPageBreak/>
              <w:t>–</w:t>
            </w:r>
          </w:p>
        </w:tc>
        <w:tc>
          <w:tcPr>
            <w:tcW w:w="1320" w:type="pct"/>
            <w:shd w:val="clear" w:color="auto" w:fill="auto"/>
          </w:tcPr>
          <w:p w:rsidR="00FA1F4E" w:rsidRDefault="003B2CFF">
            <w:pPr>
              <w:ind w:firstLine="0"/>
            </w:pPr>
            <w:r>
              <w:rPr>
                <w:sz w:val="22"/>
              </w:rPr>
              <w:t>Город Лодейное Поле Лодейнопольского городского поселения Лодейнопольского муниципального района</w:t>
            </w:r>
          </w:p>
        </w:tc>
      </w:tr>
    </w:tbl>
    <w:p w:rsidR="00FA1F4E" w:rsidRDefault="00FA1F4E">
      <w:pPr>
        <w:ind w:firstLine="0"/>
      </w:pPr>
    </w:p>
    <w:p w:rsidR="00FA1F4E" w:rsidRDefault="00FA1F4E">
      <w:pPr>
        <w:pStyle w:val="1"/>
        <w:ind w:firstLine="0"/>
        <w:sectPr w:rsidR="00FA1F4E">
          <w:pgSz w:w="16838" w:h="11906" w:orient="landscape"/>
          <w:pgMar w:top="1134" w:right="1134" w:bottom="567" w:left="1134" w:header="709" w:footer="709" w:gutter="0"/>
          <w:cols w:space="708"/>
          <w:titlePg/>
          <w:docGrid w:linePitch="360"/>
        </w:sectPr>
      </w:pPr>
    </w:p>
    <w:p w:rsidR="00FA1F4E" w:rsidRDefault="003B2CFF">
      <w:pPr>
        <w:pStyle w:val="1"/>
      </w:pPr>
      <w:bookmarkStart w:id="35" w:name="_Toc106831768"/>
      <w:r>
        <w:lastRenderedPageBreak/>
        <w:t>12. Сведения о видах, назначении и наименованиях планируемых для размещения объектов местного значения, утвержденных схемой территориального планирования Лодейнопольского муниципального района</w:t>
      </w:r>
      <w:bookmarkEnd w:id="35"/>
    </w:p>
    <w:p w:rsidR="00FA1F4E" w:rsidRDefault="00FA1F4E"/>
    <w:p w:rsidR="00FA1F4E" w:rsidRDefault="003B2CFF">
      <w:r>
        <w:t>Схема территориального планирования Лодейнопольского муниципального района Ленинградской области утверждена решением совета депутатов Лодейнопольского муниципального района Ленинградской области от 11 мая 2011 года № 158.</w:t>
      </w:r>
    </w:p>
    <w:p w:rsidR="00FA1F4E" w:rsidRDefault="003B2CFF">
      <w:r>
        <w:t>В соответствии со схемой территориального планирования Лодейнопольского муниципального района Ленинградской области (в части, подлежащей применению с учетом действующего законодательства) на территории города Лодейное Поле планируется размещение следующих объектов местного значения муниципального района:</w:t>
      </w:r>
    </w:p>
    <w:p w:rsidR="00FA1F4E" w:rsidRDefault="003B2CFF">
      <w:pPr>
        <w:pStyle w:val="120"/>
        <w:numPr>
          <w:ilvl w:val="0"/>
          <w:numId w:val="66"/>
        </w:numPr>
      </w:pPr>
      <w:r>
        <w:t>строительство детского сада на 140 мест в г. Лодейное Поле (детский сад построен на земельном участке с кадастровым номером 47:06:0103003:1953);</w:t>
      </w:r>
    </w:p>
    <w:p w:rsidR="00FA1F4E" w:rsidRDefault="003B2CFF">
      <w:pPr>
        <w:pStyle w:val="120"/>
        <w:numPr>
          <w:ilvl w:val="0"/>
          <w:numId w:val="66"/>
        </w:numPr>
      </w:pPr>
      <w:r>
        <w:t>реконструкция средней школы № 68 в г. Лодейное Поле (реализуется в 2022 году);</w:t>
      </w:r>
    </w:p>
    <w:p w:rsidR="00FA1F4E" w:rsidRDefault="003B2CFF">
      <w:pPr>
        <w:pStyle w:val="120"/>
        <w:numPr>
          <w:ilvl w:val="0"/>
          <w:numId w:val="66"/>
        </w:numPr>
      </w:pPr>
      <w:r>
        <w:t xml:space="preserve">реконструкция лыжной базы «Озерко» в г. Лодейное Поле; </w:t>
      </w:r>
    </w:p>
    <w:p w:rsidR="00FA1F4E" w:rsidRDefault="003B2CFF">
      <w:pPr>
        <w:pStyle w:val="120"/>
        <w:numPr>
          <w:ilvl w:val="0"/>
          <w:numId w:val="66"/>
        </w:numPr>
      </w:pPr>
      <w:r>
        <w:t>строительство асфальтированной освещенной лыжероллерной трассы в г. Лодейное Поле;</w:t>
      </w:r>
    </w:p>
    <w:p w:rsidR="00FA1F4E" w:rsidRDefault="003B2CFF">
      <w:pPr>
        <w:pStyle w:val="120"/>
        <w:numPr>
          <w:ilvl w:val="0"/>
          <w:numId w:val="66"/>
        </w:numPr>
      </w:pPr>
      <w:r>
        <w:t>строительство крытой хоккейной площадки с искусственным льдом в г. Лодейное Поле на базе школы № 1 (мероприятие реализовано);</w:t>
      </w:r>
    </w:p>
    <w:p w:rsidR="00FA1F4E" w:rsidRDefault="003B2CFF">
      <w:pPr>
        <w:pStyle w:val="120"/>
        <w:numPr>
          <w:ilvl w:val="0"/>
          <w:numId w:val="66"/>
        </w:numPr>
      </w:pPr>
      <w:r>
        <w:t>строительство пришкольных спортивных площадок с искусственным покрытием школы № 2, школы № 3, школы № 68 в г. Лодейное Поле (мероприятия реализованы);</w:t>
      </w:r>
    </w:p>
    <w:p w:rsidR="00FA1F4E" w:rsidRDefault="003B2CFF">
      <w:pPr>
        <w:pStyle w:val="120"/>
        <w:numPr>
          <w:ilvl w:val="0"/>
          <w:numId w:val="66"/>
        </w:numPr>
      </w:pPr>
      <w:r>
        <w:t>строительство нового здания межпоселенческой библиотеки в г. Лодейное Поле;</w:t>
      </w:r>
    </w:p>
    <w:p w:rsidR="00FA1F4E" w:rsidRDefault="003B2CFF">
      <w:pPr>
        <w:pStyle w:val="120"/>
        <w:numPr>
          <w:ilvl w:val="0"/>
          <w:numId w:val="66"/>
        </w:numPr>
      </w:pPr>
      <w:r>
        <w:t>строительство молодежного центра в г. Лодейное Поле;</w:t>
      </w:r>
    </w:p>
    <w:p w:rsidR="00FA1F4E" w:rsidRDefault="003B2CFF">
      <w:pPr>
        <w:pStyle w:val="120"/>
        <w:numPr>
          <w:ilvl w:val="0"/>
          <w:numId w:val="66"/>
        </w:numPr>
      </w:pPr>
      <w:r>
        <w:t>размещение бизнес-инкубатора в г. Лодейное Поле (мероприятие реализовано);</w:t>
      </w:r>
    </w:p>
    <w:p w:rsidR="00FA1F4E" w:rsidRDefault="003B2CFF">
      <w:pPr>
        <w:pStyle w:val="120"/>
        <w:numPr>
          <w:ilvl w:val="0"/>
          <w:numId w:val="66"/>
        </w:numPr>
      </w:pPr>
      <w:r>
        <w:t>строительство технологического парка в г. Лодейное Поле (реализация мероприятия не планируется администрацией Лодейнопольского муниципального района);</w:t>
      </w:r>
    </w:p>
    <w:p w:rsidR="00FA1F4E" w:rsidRDefault="003B2CFF">
      <w:pPr>
        <w:pStyle w:val="120"/>
        <w:numPr>
          <w:ilvl w:val="0"/>
          <w:numId w:val="66"/>
        </w:numPr>
      </w:pPr>
      <w:r>
        <w:t>строительство речного вокзала в г. Лодейное Поле;</w:t>
      </w:r>
    </w:p>
    <w:p w:rsidR="00FA1F4E" w:rsidRDefault="003B2CFF">
      <w:pPr>
        <w:pStyle w:val="120"/>
        <w:numPr>
          <w:ilvl w:val="0"/>
          <w:numId w:val="66"/>
        </w:numPr>
      </w:pPr>
      <w:r>
        <w:t>строительство автостанции в г. Лодейное Поле (образован земельный участок с кадастровым номером 47:06:0102005:506).</w:t>
      </w:r>
    </w:p>
    <w:p w:rsidR="00FA1F4E" w:rsidRDefault="003B2CFF">
      <w:r>
        <w:t>Данные объекты местного значения муниципального района в полном объёме учтены действующим генеральным планом при установлении функциональных зон.</w:t>
      </w:r>
    </w:p>
    <w:p w:rsidR="00FA1F4E" w:rsidRDefault="003B2CFF">
      <w:r>
        <w:t>Кроме того, в соответствии с вопросами местного значения поселения, следующие планируемые объекты учитываются действующим генеральным планом как объекты местного значения поселения (необходимо их исключение из схемы территориального планирования Лодейнопольского муниципального района Ленинградской области):</w:t>
      </w:r>
    </w:p>
    <w:p w:rsidR="00FA1F4E" w:rsidRDefault="003B2CFF">
      <w:pPr>
        <w:pStyle w:val="120"/>
        <w:numPr>
          <w:ilvl w:val="0"/>
          <w:numId w:val="66"/>
        </w:numPr>
      </w:pPr>
      <w:r>
        <w:t>строительство физкультурно-оздоровительного комплекса «Универсальный спортивный зал для игровых видов спорта» в г. Лодейное Поле (образован земельный участок с кадастровым номером 47:06:0102003:6), с учетом письма комитета по физической культуре и спорту</w:t>
      </w:r>
      <w:r>
        <w:rPr>
          <w:lang w:bidi="ru-RU"/>
        </w:rPr>
        <w:t xml:space="preserve"> </w:t>
      </w:r>
      <w:r>
        <w:t xml:space="preserve">Ленинградской области </w:t>
      </w:r>
      <w:r>
        <w:rPr>
          <w:lang w:bidi="ru-RU"/>
        </w:rPr>
        <w:t>от 22.07.2022 № И-2295/2022 является объектом местного значения поселения</w:t>
      </w:r>
      <w:r>
        <w:t>.</w:t>
      </w:r>
    </w:p>
    <w:p w:rsidR="00FA1F4E" w:rsidRDefault="00FA1F4E"/>
    <w:p w:rsidR="00FA1F4E" w:rsidRDefault="003B2CFF">
      <w:r>
        <w:t>При подготовке изменений в генеральный план Лодейнопольского городского поселения Лодейнопольского муниципального района Ленинградской области применительно к городу Лодейное Поле сведения о планируемых объектах местного значения муниципального района в соответствии со схемой территориального планирования Лодейнопольского муниципального района Ленинградской области сохраняются без изменений в части определения функциональных зон.</w:t>
      </w:r>
    </w:p>
    <w:p w:rsidR="00FA1F4E" w:rsidRDefault="003B2CFF">
      <w:r>
        <w:t>В связи с размещением планируемых объектов социальной инфраструктуры местного значения муниципального района установление зон с особыми условиями использования территорий не требуется.</w:t>
      </w:r>
    </w:p>
    <w:p w:rsidR="00FA1F4E" w:rsidRDefault="003B2CFF">
      <w:r>
        <w:lastRenderedPageBreak/>
        <w:t>В связи с размещением планируемых объектов транспорта в соответствии с СанПиН 2.2.1/2.1.1.1200-03 «Санитарно-защитные зоны и санитарная классификация предприятий, сооружений и иных объектов» установлены следующие ориентировочные размеры санитарно-защитных зон в соответствии с санитарной классификацией:</w:t>
      </w:r>
    </w:p>
    <w:p w:rsidR="00FA1F4E" w:rsidRDefault="003B2CFF">
      <w:pPr>
        <w:pStyle w:val="120"/>
        <w:numPr>
          <w:ilvl w:val="0"/>
          <w:numId w:val="66"/>
        </w:numPr>
      </w:pPr>
      <w:r>
        <w:t>в соответствии с разделом 2 СанПиН 2.2.1/2.1.1.1200-03 к классу III относятся автобусные вокзалы – ориентировочный размер санитарно-защитной зоны составляет 300 м;</w:t>
      </w:r>
    </w:p>
    <w:p w:rsidR="00FA1F4E" w:rsidRDefault="003B2CFF">
      <w:pPr>
        <w:pStyle w:val="120"/>
        <w:numPr>
          <w:ilvl w:val="0"/>
          <w:numId w:val="66"/>
        </w:numPr>
      </w:pPr>
      <w:r>
        <w:t> в соответствии с разделом 14 СанПиН 2.2.1/2.1.1.1200-03 к классу V относятся речные причалы – ориентировочный размер санитарно-защитной зоны составляет 100 м.</w:t>
      </w:r>
    </w:p>
    <w:p w:rsidR="00FA1F4E" w:rsidRDefault="00FA1F4E"/>
    <w:p w:rsidR="00FA1F4E" w:rsidRDefault="003B2CFF">
      <w:pPr>
        <w:pStyle w:val="1"/>
      </w:pPr>
      <w:bookmarkStart w:id="36" w:name="_Toc106831769"/>
      <w:r>
        <w:lastRenderedPageBreak/>
        <w:t>13. Перечень и характеристика основных факторов риска возникновения чрезвычайных ситуаций природного и техногенного характера</w:t>
      </w:r>
      <w:bookmarkEnd w:id="36"/>
    </w:p>
    <w:p w:rsidR="00FA1F4E" w:rsidRDefault="00FA1F4E"/>
    <w:p w:rsidR="00FA1F4E" w:rsidRDefault="003B2CFF">
      <w:pPr>
        <w:pStyle w:val="a9"/>
        <w:spacing w:after="0"/>
        <w:ind w:left="0"/>
      </w:pPr>
      <w: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A1F4E" w:rsidRDefault="003B2CFF">
      <w:pPr>
        <w:pStyle w:val="a9"/>
        <w:spacing w:after="0"/>
        <w:ind w:left="0"/>
      </w:pPr>
      <w:r>
        <w:t>По сфере возникновения чрезвычайные ситуации подразделяются на:</w:t>
      </w:r>
    </w:p>
    <w:p w:rsidR="00FA1F4E" w:rsidRDefault="003B2CFF">
      <w:pPr>
        <w:pStyle w:val="a9"/>
        <w:widowControl w:val="0"/>
        <w:numPr>
          <w:ilvl w:val="0"/>
          <w:numId w:val="67"/>
        </w:numPr>
        <w:spacing w:after="0"/>
      </w:pPr>
      <w:r>
        <w:t>чрезвычайные ситуации техногенного характера;</w:t>
      </w:r>
    </w:p>
    <w:p w:rsidR="00FA1F4E" w:rsidRDefault="003B2CFF">
      <w:pPr>
        <w:pStyle w:val="a9"/>
        <w:widowControl w:val="0"/>
        <w:numPr>
          <w:ilvl w:val="0"/>
          <w:numId w:val="67"/>
        </w:numPr>
        <w:spacing w:after="0"/>
      </w:pPr>
      <w:r>
        <w:t>чрезвычайные ситуации природного характера;</w:t>
      </w:r>
    </w:p>
    <w:p w:rsidR="00FA1F4E" w:rsidRDefault="003B2CFF">
      <w:pPr>
        <w:pStyle w:val="a9"/>
        <w:widowControl w:val="0"/>
        <w:numPr>
          <w:ilvl w:val="0"/>
          <w:numId w:val="67"/>
        </w:numPr>
        <w:spacing w:after="0"/>
      </w:pPr>
      <w:r>
        <w:t>чрезвычайные ситуации биолого-социального характера.</w:t>
      </w:r>
    </w:p>
    <w:p w:rsidR="00FA1F4E" w:rsidRDefault="00FA1F4E"/>
    <w:p w:rsidR="00FA1F4E" w:rsidRDefault="003B2CFF">
      <w:r>
        <w:t>В соответствии с исходными данными и требованиями, выданными Главным управлением МЧС России по Ленинградской области от 02.04.2013 № 2772-2-5-12, территория г. Лодейное Поле к группам категорированных по гражданской обороне территорий не отнесена.</w:t>
      </w:r>
    </w:p>
    <w:p w:rsidR="00FA1F4E" w:rsidRDefault="003B2CFF">
      <w:r>
        <w:t>На территории г. Лодейное Поле объектов (организаций), категорированных по ГО не расположено.</w:t>
      </w:r>
    </w:p>
    <w:p w:rsidR="00FA1F4E" w:rsidRDefault="00FA1F4E"/>
    <w:p w:rsidR="00FA1F4E" w:rsidRDefault="003B2CFF">
      <w:pPr>
        <w:overflowPunct w:val="0"/>
        <w:autoSpaceDE w:val="0"/>
        <w:autoSpaceDN w:val="0"/>
        <w:adjustRightInd w:val="0"/>
      </w:pPr>
      <w:r>
        <w:rPr>
          <w:b/>
          <w:bCs/>
          <w:iCs/>
        </w:rPr>
        <w:t>Природная чрезвычайная ситуация</w:t>
      </w:r>
      <w:r>
        <w:rPr>
          <w:b/>
        </w:rPr>
        <w:t xml:space="preserve"> </w:t>
      </w:r>
      <w:r>
        <w:rPr>
          <w:bCs/>
        </w:rPr>
        <w:t xml:space="preserve">– </w:t>
      </w:r>
      <w: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FA1F4E" w:rsidRDefault="003B2CFF">
      <w:pPr>
        <w:pStyle w:val="a9"/>
        <w:spacing w:after="0"/>
        <w:ind w:left="0"/>
      </w:pPr>
      <w:r>
        <w:t xml:space="preserve">Источниками природной чрезвычайной ситуации на территории, применительно к которой вносятся изменения в генеральный план, могут являться опасные природные явления, события природного характера, проявившиеся в результате деятельности природных процессов. Наиболее опасными природными процессами, характерными для рассматриваемой территории, способными стать источниками ЧС, являются: </w:t>
      </w:r>
    </w:p>
    <w:p w:rsidR="00FA1F4E" w:rsidRDefault="003B2CFF">
      <w:pPr>
        <w:pStyle w:val="a9"/>
        <w:widowControl w:val="0"/>
        <w:numPr>
          <w:ilvl w:val="0"/>
          <w:numId w:val="68"/>
        </w:numPr>
        <w:spacing w:after="0"/>
      </w:pPr>
      <w:r>
        <w:rPr>
          <w:b/>
        </w:rPr>
        <w:t>Природные пожары</w:t>
      </w:r>
      <w:r>
        <w:t>. Средний класс пожарной опасности лесов, которые окружают город Лодейное Поле, относится к средней степени опасности. Наиболее пожароопасными являются территории, примыкающие к автодорогам, населенным пунктам и местам массового отдыха местного населения и пребывания туристов. Наибольшее количество пожаров прогнозируется в периоды: конец апреля – первая половина мая (связано с проведением неконтролируемых сельхозпалов), третья декада июня – первая декада июля (начало интенсивного посещения лесов населением в связи со сбором ягод), август – сентябрь (посещение лесов населением в связи с началом грибного сезона).</w:t>
      </w:r>
    </w:p>
    <w:p w:rsidR="00FA1F4E" w:rsidRDefault="003B2CFF">
      <w:pPr>
        <w:pStyle w:val="a9"/>
        <w:widowControl w:val="0"/>
        <w:numPr>
          <w:ilvl w:val="0"/>
          <w:numId w:val="68"/>
        </w:numPr>
        <w:spacing w:after="0"/>
      </w:pPr>
      <w:r>
        <w:rPr>
          <w:b/>
        </w:rPr>
        <w:t>Грозы</w:t>
      </w:r>
      <w:r>
        <w:t>. Среднегодовая продолжительность гроз на рассматриваемой территории составляет 40 - 60 часов в год со средней плотностью ударов молнии в землю равной 4 на 1 км</w:t>
      </w:r>
      <w:r>
        <w:rPr>
          <w:vertAlign w:val="superscript"/>
        </w:rPr>
        <w:t>2</w:t>
      </w:r>
      <w:r>
        <w:t xml:space="preserve"> в год. Следствием гроз, могут стать прямые удары молнии (ПУМ), а также занос высокого потенциала по коммуникациям. ПУМ или занос высокого потенциала по коммуникациям способны привести к пожарам, поражению электрическим током людей, выходу из строя электрооборудования или других систем жизнеобеспечения.</w:t>
      </w:r>
    </w:p>
    <w:p w:rsidR="00FA1F4E" w:rsidRDefault="003B2CFF">
      <w:pPr>
        <w:pStyle w:val="a9"/>
        <w:widowControl w:val="0"/>
        <w:numPr>
          <w:ilvl w:val="0"/>
          <w:numId w:val="68"/>
        </w:numPr>
        <w:spacing w:after="0"/>
      </w:pPr>
      <w:r>
        <w:rPr>
          <w:b/>
        </w:rPr>
        <w:t>Сильные ветры</w:t>
      </w:r>
      <w:r>
        <w:t>. 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FA1F4E" w:rsidRDefault="003B2CFF">
      <w:pPr>
        <w:pStyle w:val="a9"/>
        <w:widowControl w:val="0"/>
        <w:numPr>
          <w:ilvl w:val="0"/>
          <w:numId w:val="68"/>
        </w:numPr>
        <w:spacing w:after="0"/>
      </w:pPr>
      <w:r>
        <w:rPr>
          <w:b/>
        </w:rPr>
        <w:lastRenderedPageBreak/>
        <w:t>Сильные морозы</w:t>
      </w:r>
      <w:r>
        <w:t xml:space="preserve">. 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водо- и теплоснабжения или запорной арматуры коммуникаций водо-, тепло- и газоснабжения). Температура наиболее холодной пятидневки для рассматриваемой территории с обеспеченностью 0,92 составляет минус 29 </w:t>
      </w:r>
      <w:r>
        <w:rPr>
          <w:vertAlign w:val="superscript"/>
        </w:rPr>
        <w:t>о</w:t>
      </w:r>
      <w:r>
        <w:t xml:space="preserve">С, с обеспеченностью 0,98 минус 32 </w:t>
      </w:r>
      <w:r>
        <w:rPr>
          <w:vertAlign w:val="superscript"/>
        </w:rPr>
        <w:t>о</w:t>
      </w:r>
      <w:r>
        <w:t>С.</w:t>
      </w:r>
    </w:p>
    <w:p w:rsidR="00FA1F4E" w:rsidRDefault="003B2CFF">
      <w:pPr>
        <w:pStyle w:val="a9"/>
        <w:widowControl w:val="0"/>
        <w:numPr>
          <w:ilvl w:val="0"/>
          <w:numId w:val="68"/>
        </w:numPr>
        <w:spacing w:after="0"/>
      </w:pPr>
      <w:r>
        <w:rPr>
          <w:b/>
        </w:rPr>
        <w:t>Снегопады</w:t>
      </w:r>
      <w:r>
        <w:t>. Средняя (из больших) величина снежного покрова за зиму составляет 500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рассматриваемой территории составляет 180 кг/см</w:t>
      </w:r>
      <w:r>
        <w:rPr>
          <w:vertAlign w:val="superscript"/>
        </w:rPr>
        <w:t>2</w:t>
      </w:r>
      <w:r>
        <w:t>.</w:t>
      </w:r>
    </w:p>
    <w:p w:rsidR="00FA1F4E" w:rsidRDefault="003B2CFF">
      <w:pPr>
        <w:pStyle w:val="a9"/>
        <w:widowControl w:val="0"/>
        <w:numPr>
          <w:ilvl w:val="0"/>
          <w:numId w:val="68"/>
        </w:numPr>
        <w:spacing w:after="0"/>
      </w:pPr>
      <w:r>
        <w:rPr>
          <w:b/>
        </w:rPr>
        <w:t>Ливневые дожди и подтопление территории</w:t>
      </w:r>
      <w:r>
        <w:t>. Исходя из климатических и инженерно-геологических условий рассматриваемой территории, ливни, особенно на участках территории с повышенным уровнем грунтовых вод, способны привести к подтоплению фундаментов и подземных объемов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FA1F4E" w:rsidRDefault="003B2CFF">
      <w:pPr>
        <w:pStyle w:val="a9"/>
        <w:spacing w:after="0"/>
        <w:ind w:left="1416" w:firstLine="0"/>
      </w:pPr>
      <w:r>
        <w:t>Весеннее половодье обычно начинается в первой декаде апреля. В отдельные годы в зависимости от характера весны сроки наступления половодья сдвигаются на первую-вторую декаду марта и на конец второй – начало третьей декады апреля. Пик половодья наступает в среднем 15 - 16 апреля. Средняя высота половодья над меженным уровнем составляет 1,7 - 2,0 м. Максимальные подъёмы уровней составляют соответственно 2,6 - 3,0 м и, как правило, зажорного или заторного происхождения. Средняя продолжительность весеннего половодья 45 - 65 дней. В зону затопления паводками попадают пониженные участки рельефа в прибрежной части территории. Освоение их потребует проведения мероприятий по защите от затопления.</w:t>
      </w:r>
    </w:p>
    <w:p w:rsidR="00FA1F4E" w:rsidRDefault="003B2CFF">
      <w:pPr>
        <w:pStyle w:val="a9"/>
        <w:widowControl w:val="0"/>
        <w:numPr>
          <w:ilvl w:val="0"/>
          <w:numId w:val="68"/>
        </w:numPr>
        <w:spacing w:after="0"/>
      </w:pPr>
      <w:r>
        <w:rPr>
          <w:b/>
        </w:rPr>
        <w:t>Подтопление (затопление) территории</w:t>
      </w:r>
      <w:r>
        <w:t>. На территории города Лодейное Поле установлены зоны затопления, подтопления, в которые попадают часть территорий жилой застройки. В качестве мероприятий по снижению негативного влияния весенних паводков на реке Свирь и ее притоках рекомендуется организация мониторинга уровня воды в период паводка, распиловка и чернение льда, а также своевременная эвакуация населения из мест подверженных подтоплению. В качестве планировочных мероприятий по снижению последствий подтопления территории, следует планировать переселение жителей из домов, попадающих в зону бедствия, в дома, находящиеся на безопасных территориях, а также проведение инженерного комплекса мероприятий по руслорегулированию. В крупных населенных пунктах необходимо проводить строительство защитных дамб, а также проведение ремонта существующих.</w:t>
      </w:r>
    </w:p>
    <w:p w:rsidR="00FA1F4E" w:rsidRDefault="003B2CFF">
      <w:pPr>
        <w:pStyle w:val="afff3"/>
        <w:spacing w:before="0" w:after="0"/>
        <w:ind w:left="1416" w:firstLine="0"/>
      </w:pPr>
      <w: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FA1F4E" w:rsidRDefault="003B2CFF">
      <w:pPr>
        <w:pStyle w:val="afff3"/>
        <w:numPr>
          <w:ilvl w:val="0"/>
          <w:numId w:val="69"/>
        </w:numPr>
        <w:spacing w:before="0" w:after="0"/>
        <w:ind w:left="1776"/>
      </w:pPr>
      <w: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FA1F4E" w:rsidRDefault="003B2CFF">
      <w:pPr>
        <w:pStyle w:val="afff3"/>
        <w:numPr>
          <w:ilvl w:val="0"/>
          <w:numId w:val="69"/>
        </w:numPr>
        <w:spacing w:before="0" w:after="0"/>
        <w:ind w:left="1776"/>
      </w:pPr>
      <w:r>
        <w:t>использование сточных вод в целях регулирования плодородия почв при размещении объектов капитального строительства использование водных объектов для сброса сточных вод осуществляется с соблюдением требований;</w:t>
      </w:r>
    </w:p>
    <w:p w:rsidR="00FA1F4E" w:rsidRDefault="003B2CFF">
      <w:pPr>
        <w:pStyle w:val="afff3"/>
        <w:numPr>
          <w:ilvl w:val="0"/>
          <w:numId w:val="69"/>
        </w:numPr>
        <w:spacing w:before="0" w:after="0"/>
        <w:ind w:left="1776"/>
      </w:pPr>
      <w: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FA1F4E" w:rsidRDefault="003B2CFF">
      <w:pPr>
        <w:pStyle w:val="afff3"/>
        <w:numPr>
          <w:ilvl w:val="0"/>
          <w:numId w:val="69"/>
        </w:numPr>
        <w:spacing w:before="0" w:after="0"/>
        <w:ind w:left="1776"/>
      </w:pPr>
      <w:r>
        <w:t>осуществление авиационных средств по борьбе с вредными организмами.</w:t>
      </w:r>
    </w:p>
    <w:p w:rsidR="00FA1F4E" w:rsidRDefault="003B2CFF">
      <w:pPr>
        <w:pStyle w:val="afff3"/>
        <w:spacing w:before="0" w:after="0"/>
        <w:ind w:left="1416" w:firstLine="0"/>
      </w:pPr>
      <w:r>
        <w:t>В соответствии с пунктом 13.6 СП 42.13330.2016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w:t>
      </w:r>
    </w:p>
    <w:p w:rsidR="00FA1F4E" w:rsidRDefault="003B2CFF">
      <w:pPr>
        <w:pStyle w:val="afff3"/>
        <w:spacing w:before="0" w:after="0"/>
        <w:ind w:left="1416" w:firstLine="0"/>
      </w:pPr>
      <w:r>
        <w:t>Поскольку основной формой негативного воздействия вод является затопление и подтопление прибрежных территорий при прохождении весеннего половодья и летне-осенних паводков, то в этом случае соответствующие мероприятия включают в себя:</w:t>
      </w:r>
    </w:p>
    <w:p w:rsidR="00FA1F4E" w:rsidRDefault="003B2CFF">
      <w:pPr>
        <w:pStyle w:val="afff3"/>
        <w:numPr>
          <w:ilvl w:val="0"/>
          <w:numId w:val="70"/>
        </w:numPr>
        <w:spacing w:before="0" w:after="0"/>
        <w:ind w:left="1776"/>
      </w:pPr>
      <w:r>
        <w:t>увеличение пропускной способности русел рек, их расчистку, спрямление и дноуглубление, а также расчистку водоемов и водотоков;</w:t>
      </w:r>
    </w:p>
    <w:p w:rsidR="00FA1F4E" w:rsidRDefault="003B2CFF">
      <w:pPr>
        <w:pStyle w:val="afff3"/>
        <w:numPr>
          <w:ilvl w:val="0"/>
          <w:numId w:val="70"/>
        </w:numPr>
        <w:spacing w:before="0" w:after="0"/>
        <w:ind w:left="1776"/>
      </w:pPr>
      <w:r>
        <w:t>уполаживание берегов;</w:t>
      </w:r>
    </w:p>
    <w:p w:rsidR="00FA1F4E" w:rsidRDefault="003B2CFF">
      <w:pPr>
        <w:pStyle w:val="afff3"/>
        <w:numPr>
          <w:ilvl w:val="0"/>
          <w:numId w:val="70"/>
        </w:numPr>
        <w:spacing w:before="0" w:after="0"/>
        <w:ind w:left="1776"/>
      </w:pPr>
      <w:r>
        <w:t>биогенное закрепление берегов;</w:t>
      </w:r>
    </w:p>
    <w:p w:rsidR="00FA1F4E" w:rsidRDefault="003B2CFF">
      <w:pPr>
        <w:pStyle w:val="afff3"/>
        <w:numPr>
          <w:ilvl w:val="0"/>
          <w:numId w:val="70"/>
        </w:numPr>
        <w:spacing w:before="0" w:after="0"/>
        <w:ind w:left="1776"/>
      </w:pPr>
      <w:r>
        <w:t>укрепление берегов песчано-гравийной и каменной наброской на наиболее проблемных участках.</w:t>
      </w:r>
    </w:p>
    <w:p w:rsidR="00FA1F4E" w:rsidRDefault="003B2CFF">
      <w:pPr>
        <w:pStyle w:val="afff3"/>
        <w:spacing w:before="0" w:after="0"/>
        <w:ind w:left="1416" w:firstLine="0"/>
      </w:pPr>
      <w:r>
        <w:t>Работы на водных объектах, находящихся в федеральной собственности в силу статей 9 и 11 Водного кодекса Российской Федерации выполняются при приобретении права пользования поверхностными водными объектами, находящимися в федеральной собственности, собственности субъекта Российской Федерации или муниципальной собственности на основании договоров водопользования или решения о предоставлении водного объекта в пользование, которые оформляется в порядке, установленном главой 3 Водного кодекса Российской Федерации, а также иными нормативными правовыми актами.</w:t>
      </w:r>
    </w:p>
    <w:p w:rsidR="00FA1F4E" w:rsidRDefault="003B2CFF">
      <w:pPr>
        <w:pStyle w:val="aff2"/>
        <w:widowControl w:val="0"/>
        <w:spacing w:before="0" w:beforeAutospacing="0" w:after="0" w:afterAutospacing="0"/>
        <w:ind w:left="1416"/>
        <w:jc w:val="both"/>
      </w:pPr>
      <w:r>
        <w:t>Новое строительство (реконструкция объектов) в зонах затопления (подтопления) без обеспечения инженерной защиты территории и объектов запрещено.</w:t>
      </w:r>
    </w:p>
    <w:p w:rsidR="00FA1F4E" w:rsidRDefault="003B2CFF">
      <w:pPr>
        <w:pStyle w:val="aff2"/>
        <w:widowControl w:val="0"/>
        <w:spacing w:before="0" w:beforeAutospacing="0" w:after="0" w:afterAutospacing="0"/>
        <w:ind w:left="1416"/>
        <w:jc w:val="both"/>
      </w:pPr>
      <w:r>
        <w:t>С учетом Определения Верховного Суда Российской Федерации от 8 июня 2017 года № 51-КГ17-3 размещение в акватории водного объекта, находящегося в федеральной собственности и расположенного на территориях двух и более субъектов Российской Федерации, гидротехнических сооружений, равно как и осуществление действий по их обслуживанию, восстановлению целостности и обустройству инженерной защиты, должно проводиться с привлечением собственника этого водного объекта либо уполномоченного им лица.</w:t>
      </w:r>
    </w:p>
    <w:p w:rsidR="00FA1F4E" w:rsidRDefault="003B2CFF">
      <w:pPr>
        <w:pStyle w:val="aff2"/>
        <w:widowControl w:val="0"/>
        <w:spacing w:before="0" w:beforeAutospacing="0" w:after="0" w:afterAutospacing="0"/>
        <w:ind w:left="1416"/>
        <w:jc w:val="both"/>
      </w:pPr>
      <w:r>
        <w:t>Разработка мероприятий инженерной защиты территорий и объектов от затопления, подтопления, включающие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осуществляется на основе инженерных изысканий, выполняемых специализированными организациями.</w:t>
      </w:r>
    </w:p>
    <w:p w:rsidR="00FA1F4E" w:rsidRDefault="003B2CFF">
      <w:pPr>
        <w:pStyle w:val="aff2"/>
        <w:widowControl w:val="0"/>
        <w:spacing w:before="0" w:beforeAutospacing="0" w:after="0" w:afterAutospacing="0"/>
        <w:ind w:left="1416"/>
        <w:jc w:val="both"/>
      </w:pPr>
      <w:r>
        <w:t>Работы по определению и реализации мероприятий по защите земельных участков и объектов недвижимости от затопления осуществляются собственниками земельных участков и объектов недвижимости.</w:t>
      </w:r>
    </w:p>
    <w:p w:rsidR="00FA1F4E" w:rsidRDefault="003B2CFF">
      <w:pPr>
        <w:pStyle w:val="aff2"/>
        <w:widowControl w:val="0"/>
        <w:spacing w:before="0" w:beforeAutospacing="0" w:after="0" w:afterAutospacing="0"/>
        <w:ind w:left="1416"/>
        <w:jc w:val="both"/>
      </w:pPr>
      <w:r>
        <w:t>В границах населенных пунктов на территориях, подверженных угрозе затопления паводковыми водами, необходима реализация соответствующих инженерных мероприятий в соответствии с СП 104.13330.2016 «Инженерная защита территорий от затопления и подтопления». Защиту территорий от затопления осуществляют:</w:t>
      </w:r>
    </w:p>
    <w:p w:rsidR="00FA1F4E" w:rsidRDefault="003B2CFF">
      <w:pPr>
        <w:pStyle w:val="aff2"/>
        <w:widowControl w:val="0"/>
        <w:numPr>
          <w:ilvl w:val="0"/>
          <w:numId w:val="71"/>
        </w:numPr>
        <w:spacing w:before="0" w:beforeAutospacing="0" w:after="0" w:afterAutospacing="0"/>
        <w:ind w:left="1776"/>
        <w:jc w:val="both"/>
      </w:pPr>
      <w:r>
        <w:t>обвалованием территорий со стороны реки;</w:t>
      </w:r>
    </w:p>
    <w:p w:rsidR="00FA1F4E" w:rsidRDefault="003B2CFF">
      <w:pPr>
        <w:pStyle w:val="aff2"/>
        <w:widowControl w:val="0"/>
        <w:numPr>
          <w:ilvl w:val="0"/>
          <w:numId w:val="71"/>
        </w:numPr>
        <w:spacing w:before="0" w:beforeAutospacing="0" w:after="0" w:afterAutospacing="0"/>
        <w:ind w:left="1776"/>
        <w:jc w:val="both"/>
      </w:pPr>
      <w:r>
        <w:lastRenderedPageBreak/>
        <w:t>искусственным повышением рельефа территории до незатопляемых планировочных отметок;</w:t>
      </w:r>
    </w:p>
    <w:p w:rsidR="00FA1F4E" w:rsidRDefault="003B2CFF">
      <w:pPr>
        <w:pStyle w:val="aff2"/>
        <w:widowControl w:val="0"/>
        <w:numPr>
          <w:ilvl w:val="0"/>
          <w:numId w:val="71"/>
        </w:numPr>
        <w:spacing w:before="0" w:beforeAutospacing="0" w:after="0" w:afterAutospacing="0"/>
        <w:ind w:left="1776"/>
        <w:jc w:val="both"/>
      </w:pPr>
      <w:r>
        <w:t>аккумуляцией, регулированием, отводом поверхностных сбросных и дренажных вод с затопленных, временно затопляемых территорий и низинных нарушенных земель.</w:t>
      </w:r>
    </w:p>
    <w:p w:rsidR="00FA1F4E" w:rsidRDefault="003B2CFF">
      <w:pPr>
        <w:pStyle w:val="aff2"/>
        <w:widowControl w:val="0"/>
        <w:spacing w:before="0" w:beforeAutospacing="0" w:after="0" w:afterAutospacing="0"/>
        <w:ind w:left="1416"/>
        <w:jc w:val="both"/>
      </w:pPr>
      <w:r>
        <w:t>На территории сельского поселения с учетом особенностей рельефа, жилой застройки и характера речной сети наиболее рациональными мероприятиями являются:</w:t>
      </w:r>
    </w:p>
    <w:p w:rsidR="00FA1F4E" w:rsidRDefault="003B2CFF">
      <w:pPr>
        <w:pStyle w:val="aff2"/>
        <w:widowControl w:val="0"/>
        <w:numPr>
          <w:ilvl w:val="0"/>
          <w:numId w:val="71"/>
        </w:numPr>
        <w:spacing w:before="0" w:beforeAutospacing="0" w:after="0" w:afterAutospacing="0"/>
        <w:ind w:left="1776"/>
        <w:jc w:val="both"/>
      </w:pPr>
      <w:r>
        <w:t>для вновь осваиваемых территорий – повышение рельефа до незатопляемых планировочных отметок;</w:t>
      </w:r>
    </w:p>
    <w:p w:rsidR="00FA1F4E" w:rsidRDefault="003B2CFF">
      <w:pPr>
        <w:pStyle w:val="aff2"/>
        <w:widowControl w:val="0"/>
        <w:numPr>
          <w:ilvl w:val="0"/>
          <w:numId w:val="71"/>
        </w:numPr>
        <w:spacing w:before="0" w:beforeAutospacing="0" w:after="0" w:afterAutospacing="0"/>
        <w:ind w:left="1776"/>
        <w:jc w:val="both"/>
      </w:pPr>
      <w:r>
        <w:t>на застроенных территориях – обваловка территории и регулирование стока реки.</w:t>
      </w:r>
    </w:p>
    <w:p w:rsidR="00FA1F4E" w:rsidRDefault="003B2CFF">
      <w:pPr>
        <w:pStyle w:val="aff2"/>
        <w:widowControl w:val="0"/>
        <w:spacing w:before="0" w:beforeAutospacing="0" w:after="0" w:afterAutospacing="0"/>
        <w:ind w:left="1416"/>
        <w:jc w:val="both"/>
      </w:pPr>
      <w:r>
        <w:t>Повышение грунтовых вод изменяет гидрогеологические свойства и несущую способность почв, для обеспечения необходимой устойчивости и безопасности проектируемых зданий и сооружений должны предусматриваться такие мероприятия как гидроизоляция фундаментов, использование свай, сплошной (плитный) фундамент.</w:t>
      </w:r>
    </w:p>
    <w:p w:rsidR="00FA1F4E" w:rsidRDefault="003B2CFF">
      <w:pPr>
        <w:pStyle w:val="aff2"/>
        <w:widowControl w:val="0"/>
        <w:spacing w:before="0" w:beforeAutospacing="0" w:after="0" w:afterAutospacing="0"/>
        <w:ind w:left="1416"/>
        <w:jc w:val="both"/>
      </w:pPr>
      <w:r>
        <w:t>Инженерная подготовка территории предполагает комплекс мероприятий по обеспечению пригодности территории для градостроительного использования, обеспечения безопасности жизнедеятельности населения. В соответствии с инженерно-геологическими условиями и планируемым развитием населенных пунктов необходимы следующие мероприятия:</w:t>
      </w:r>
    </w:p>
    <w:p w:rsidR="00FA1F4E" w:rsidRDefault="003B2CFF">
      <w:pPr>
        <w:pStyle w:val="aff2"/>
        <w:widowControl w:val="0"/>
        <w:numPr>
          <w:ilvl w:val="0"/>
          <w:numId w:val="71"/>
        </w:numPr>
        <w:spacing w:before="0" w:beforeAutospacing="0" w:after="0" w:afterAutospacing="0"/>
        <w:ind w:left="1776"/>
        <w:jc w:val="both"/>
      </w:pPr>
      <w:r>
        <w:t>отвод поверхностных вод: создание дренажной системы;</w:t>
      </w:r>
    </w:p>
    <w:p w:rsidR="00FA1F4E" w:rsidRDefault="003B2CFF">
      <w:pPr>
        <w:pStyle w:val="aff2"/>
        <w:widowControl w:val="0"/>
        <w:numPr>
          <w:ilvl w:val="0"/>
          <w:numId w:val="71"/>
        </w:numPr>
        <w:spacing w:before="0" w:beforeAutospacing="0" w:after="0" w:afterAutospacing="0"/>
        <w:ind w:left="1776"/>
        <w:jc w:val="both"/>
      </w:pPr>
      <w:r>
        <w:t>при необходимости: понижение уровня грунтовых вод путем устройства закрытой сети водостоков с очистными сооружениями поверхностного стока;</w:t>
      </w:r>
    </w:p>
    <w:p w:rsidR="00FA1F4E" w:rsidRDefault="003B2CFF">
      <w:pPr>
        <w:pStyle w:val="aff2"/>
        <w:widowControl w:val="0"/>
        <w:numPr>
          <w:ilvl w:val="0"/>
          <w:numId w:val="71"/>
        </w:numPr>
        <w:spacing w:before="0" w:beforeAutospacing="0" w:after="0" w:afterAutospacing="0"/>
        <w:ind w:left="1776"/>
        <w:jc w:val="both"/>
      </w:pPr>
      <w:r>
        <w:t>улучшение сети открытых дренажных канав;</w:t>
      </w:r>
    </w:p>
    <w:p w:rsidR="00FA1F4E" w:rsidRDefault="003B2CFF">
      <w:pPr>
        <w:pStyle w:val="aff2"/>
        <w:widowControl w:val="0"/>
        <w:numPr>
          <w:ilvl w:val="0"/>
          <w:numId w:val="71"/>
        </w:numPr>
        <w:spacing w:before="0" w:beforeAutospacing="0" w:after="0" w:afterAutospacing="0"/>
        <w:ind w:left="1776"/>
        <w:jc w:val="both"/>
      </w:pPr>
      <w:r>
        <w:t>организация поверхностного стока в комплексе с вертикальной планировкой улиц, проездов, площадей является одним из основных мероприятий по инженерной подготовке территории.</w:t>
      </w:r>
    </w:p>
    <w:p w:rsidR="00FA1F4E" w:rsidRDefault="00FA1F4E">
      <w:pPr>
        <w:pStyle w:val="a9"/>
        <w:spacing w:after="0"/>
        <w:ind w:left="0"/>
      </w:pPr>
    </w:p>
    <w:p w:rsidR="00FA1F4E" w:rsidRDefault="003B2CFF">
      <w:pPr>
        <w:pStyle w:val="a9"/>
        <w:spacing w:after="0"/>
        <w:ind w:left="0"/>
      </w:pPr>
      <w:r>
        <w:t>Генеральным планом не предусмотрена застройка территорий, подверженных затоплениям. Проблемы подтопления территории, оврагообразования, решаются комплексом мероприятий по инженерной подготовке и защите территории, а именно:</w:t>
      </w:r>
    </w:p>
    <w:p w:rsidR="00FA1F4E" w:rsidRDefault="003B2CFF">
      <w:pPr>
        <w:numPr>
          <w:ilvl w:val="0"/>
          <w:numId w:val="72"/>
        </w:numPr>
      </w:pPr>
      <w:r>
        <w:t>регулирования стока и отвода поверхностных и подземных вод;</w:t>
      </w:r>
    </w:p>
    <w:p w:rsidR="00FA1F4E" w:rsidRDefault="003B2CFF">
      <w:pPr>
        <w:numPr>
          <w:ilvl w:val="0"/>
          <w:numId w:val="72"/>
        </w:numPr>
      </w:pPr>
      <w:r>
        <w:t>устройства дренажных систем и отдельных дренажей;</w:t>
      </w:r>
    </w:p>
    <w:p w:rsidR="00FA1F4E" w:rsidRDefault="003B2CFF">
      <w:pPr>
        <w:numPr>
          <w:ilvl w:val="0"/>
          <w:numId w:val="72"/>
        </w:numPr>
      </w:pPr>
      <w:r>
        <w:t>регулирования русел и стока рек;</w:t>
      </w:r>
    </w:p>
    <w:p w:rsidR="00FA1F4E" w:rsidRDefault="003B2CFF">
      <w:pPr>
        <w:numPr>
          <w:ilvl w:val="0"/>
          <w:numId w:val="72"/>
        </w:numPr>
      </w:pPr>
      <w:r>
        <w:t>ледорезных работ;</w:t>
      </w:r>
    </w:p>
    <w:p w:rsidR="00FA1F4E" w:rsidRDefault="003B2CFF">
      <w:pPr>
        <w:numPr>
          <w:ilvl w:val="0"/>
          <w:numId w:val="72"/>
        </w:numPr>
      </w:pPr>
      <w:r>
        <w:t>обследования паводкоопасных территорий;</w:t>
      </w:r>
    </w:p>
    <w:p w:rsidR="00FA1F4E" w:rsidRDefault="003B2CFF">
      <w:pPr>
        <w:numPr>
          <w:ilvl w:val="0"/>
          <w:numId w:val="72"/>
        </w:numPr>
      </w:pPr>
      <w:r>
        <w:t>агролесомелиорации;</w:t>
      </w:r>
    </w:p>
    <w:p w:rsidR="00FA1F4E" w:rsidRDefault="003B2CFF">
      <w:pPr>
        <w:numPr>
          <w:ilvl w:val="0"/>
          <w:numId w:val="72"/>
        </w:numPr>
      </w:pPr>
      <w:r>
        <w:t>создания локальных систем оповещения населения.</w:t>
      </w:r>
    </w:p>
    <w:p w:rsidR="00FA1F4E" w:rsidRDefault="003B2CFF">
      <w:pPr>
        <w:pStyle w:val="a9"/>
        <w:spacing w:after="0"/>
        <w:ind w:left="0"/>
      </w:pPr>
      <w:r>
        <w:t>Таким образом, в соответствии с СП 115.13330.2016 Геофизика опасных природных воздействий. Актуализированная редакция СНиП 22-01-95, с учетом частоты и интенсивности проявления, к категории опасных природных процессов относятся:</w:t>
      </w:r>
    </w:p>
    <w:p w:rsidR="00FA1F4E" w:rsidRDefault="003B2CFF">
      <w:pPr>
        <w:pStyle w:val="a9"/>
        <w:widowControl w:val="0"/>
        <w:numPr>
          <w:ilvl w:val="0"/>
          <w:numId w:val="73"/>
        </w:numPr>
        <w:spacing w:after="0"/>
      </w:pPr>
      <w:r>
        <w:t>сильные ветры;</w:t>
      </w:r>
    </w:p>
    <w:p w:rsidR="00FA1F4E" w:rsidRDefault="003B2CFF">
      <w:pPr>
        <w:pStyle w:val="a9"/>
        <w:widowControl w:val="0"/>
        <w:numPr>
          <w:ilvl w:val="0"/>
          <w:numId w:val="73"/>
        </w:numPr>
        <w:spacing w:after="0"/>
      </w:pPr>
      <w:r>
        <w:t>подтопление территории.</w:t>
      </w:r>
    </w:p>
    <w:p w:rsidR="00FA1F4E" w:rsidRDefault="003B2CFF">
      <w:pPr>
        <w:pStyle w:val="a9"/>
        <w:spacing w:after="0"/>
        <w:ind w:left="0"/>
      </w:pPr>
      <w:r>
        <w:t>Категория опасности остальных природных процессов – умеренно опасные.</w:t>
      </w:r>
    </w:p>
    <w:p w:rsidR="00FA1F4E" w:rsidRDefault="00FA1F4E"/>
    <w:p w:rsidR="00FA1F4E" w:rsidRDefault="003B2CFF">
      <w:pPr>
        <w:tabs>
          <w:tab w:val="left" w:pos="9540"/>
          <w:tab w:val="left" w:pos="9900"/>
        </w:tabs>
      </w:pPr>
      <w:r>
        <w:rPr>
          <w:b/>
        </w:rPr>
        <w:t>Техногенная чрезвычайная ситуация</w:t>
      </w:r>
      <w: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FA1F4E" w:rsidRDefault="003B2CFF">
      <w:pPr>
        <w:pStyle w:val="a9"/>
        <w:spacing w:after="0"/>
        <w:ind w:left="0"/>
      </w:pPr>
      <w:r>
        <w:lastRenderedPageBreak/>
        <w:t>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В качестве наиболее вероятных чрезвычайных ситуаций в мирное время рассматриваются ЧС техногенного характера и ЧС, вызываемые опасными природными процессами.</w:t>
      </w:r>
    </w:p>
    <w:p w:rsidR="00FA1F4E" w:rsidRDefault="003B2CFF">
      <w:pPr>
        <w:pStyle w:val="a9"/>
        <w:spacing w:after="0"/>
        <w:ind w:left="0"/>
      </w:pPr>
      <w:r>
        <w:t>В качестве наиболее вероятных ЧС техногенного характера рассматриваются:</w:t>
      </w:r>
    </w:p>
    <w:p w:rsidR="00FA1F4E" w:rsidRDefault="003B2CFF">
      <w:pPr>
        <w:pStyle w:val="a9"/>
        <w:widowControl w:val="0"/>
        <w:numPr>
          <w:ilvl w:val="0"/>
          <w:numId w:val="74"/>
        </w:numPr>
        <w:spacing w:after="0"/>
      </w:pPr>
      <w:r>
        <w:rPr>
          <w:b/>
        </w:rPr>
        <w:t>Аварии (прекращение функционирования) систем жизнеобеспечения</w:t>
      </w:r>
      <w:r>
        <w:t xml:space="preserve">. Последствиями аварий на системах жизнеобеспечения могут быть – отключение электроснабжения и водоснабжения как отдельных зданий, так и в целом населенных пунктов. Анализ угроз, обусловленных техническим состоянием объектов жилищно-коммунального хозяйства, показывает, что наибольшую опасность, из-за значительного физического износа, представляют следующие объекты: </w:t>
      </w:r>
    </w:p>
    <w:p w:rsidR="00FA1F4E" w:rsidRDefault="003B2CFF">
      <w:pPr>
        <w:numPr>
          <w:ilvl w:val="0"/>
          <w:numId w:val="75"/>
        </w:numPr>
      </w:pPr>
      <w:r>
        <w:t xml:space="preserve">трансформаторные электрические подстанции; </w:t>
      </w:r>
    </w:p>
    <w:p w:rsidR="00FA1F4E" w:rsidRDefault="003B2CFF">
      <w:pPr>
        <w:numPr>
          <w:ilvl w:val="0"/>
          <w:numId w:val="75"/>
        </w:numPr>
      </w:pPr>
      <w:r>
        <w:t>котельные;</w:t>
      </w:r>
    </w:p>
    <w:p w:rsidR="00FA1F4E" w:rsidRDefault="003B2CFF">
      <w:pPr>
        <w:numPr>
          <w:ilvl w:val="0"/>
          <w:numId w:val="75"/>
        </w:numPr>
      </w:pPr>
      <w:r>
        <w:t xml:space="preserve">очистные сооружения; </w:t>
      </w:r>
    </w:p>
    <w:p w:rsidR="00FA1F4E" w:rsidRDefault="003B2CFF">
      <w:pPr>
        <w:numPr>
          <w:ilvl w:val="0"/>
          <w:numId w:val="75"/>
        </w:numPr>
      </w:pPr>
      <w:r>
        <w:t>водонесущие коммуникации – водопроводные и тепловые сети;</w:t>
      </w:r>
    </w:p>
    <w:p w:rsidR="00FA1F4E" w:rsidRDefault="003B2CFF">
      <w:pPr>
        <w:numPr>
          <w:ilvl w:val="0"/>
          <w:numId w:val="75"/>
        </w:numPr>
        <w:rPr>
          <w:rFonts w:ascii="Bookman Old Style" w:hAnsi="Bookman Old Style"/>
        </w:rPr>
      </w:pPr>
      <w:r>
        <w:t>канализационные очистные сооружения</w:t>
      </w:r>
      <w:r>
        <w:rPr>
          <w:rFonts w:ascii="Bookman Old Style" w:hAnsi="Bookman Old Style"/>
        </w:rPr>
        <w:t>.</w:t>
      </w:r>
    </w:p>
    <w:p w:rsidR="00FA1F4E" w:rsidRDefault="003B2CFF">
      <w:pPr>
        <w:pStyle w:val="a9"/>
        <w:widowControl w:val="0"/>
        <w:numPr>
          <w:ilvl w:val="0"/>
          <w:numId w:val="74"/>
        </w:numPr>
        <w:spacing w:after="0"/>
      </w:pPr>
      <w:r>
        <w:rPr>
          <w:b/>
        </w:rPr>
        <w:t xml:space="preserve">Аварии на автомобильном и железнодорожном транспорте. </w:t>
      </w:r>
      <w:r>
        <w:t>Транспорт является источником повышенной опасности для пассажиров и населения, проживающего в зонах транспортных магистралей, так как на транспорте перевозят легковоспламеняющиеся, взрывчатые и иные опасные вещества, которые при аварии и разгерметизации емкостей для перевозки, могут представлять угрозу жизни и здоровью людей, угрозу загрязнения окружающей природной среды, угрозу возникновения пожаров. Аварии с разливом опасных грузов (АХОВ, СУГ, ГСМ) возможны в случае транспортного происшествия и при нарушении технологии ведения погрузочно-разгрузочных работ.</w:t>
      </w:r>
    </w:p>
    <w:p w:rsidR="00FA1F4E" w:rsidRDefault="003B2CFF">
      <w:pPr>
        <w:pStyle w:val="a9"/>
        <w:widowControl w:val="0"/>
        <w:numPr>
          <w:ilvl w:val="0"/>
          <w:numId w:val="74"/>
        </w:numPr>
        <w:spacing w:after="0"/>
      </w:pPr>
      <w:r>
        <w:rPr>
          <w:b/>
        </w:rPr>
        <w:t xml:space="preserve">Аварии на трубопроводном транспорте. </w:t>
      </w:r>
      <w:r>
        <w:t xml:space="preserve">Аварии возможны также на трубопроводном транспорте: межпоселковые газопроводы. Основной причиной аварий и пожаров на них могут быть: брак строительно-монтажных и ремонтных работ, внешнее механическое воздействие и стресс-подземная коррозия металла, коррозионное разрушение трубопроводов, арматуры, фланцевых соединений из-за износа. Охранные зоны газопроводов являются зонами планировочных ограничений, деятельность границах которых регламентируется. </w:t>
      </w:r>
    </w:p>
    <w:p w:rsidR="00FA1F4E" w:rsidRDefault="003B2CFF">
      <w:pPr>
        <w:pStyle w:val="a9"/>
        <w:widowControl w:val="0"/>
        <w:numPr>
          <w:ilvl w:val="0"/>
          <w:numId w:val="74"/>
        </w:numPr>
        <w:spacing w:after="0"/>
      </w:pPr>
      <w:r>
        <w:rPr>
          <w:b/>
        </w:rPr>
        <w:t xml:space="preserve">Аварии и катастрофы на пожароопасных и взрывоопасных объектах. </w:t>
      </w:r>
      <w:r>
        <w:t>Пожаровзрывоопасные объекты – объекты, на которых производят, хранят и на которые (с которых) транспортируют взрывоопасные продукты или продукты, приобретающие в определенных условиях способность к возгоранию или взрыву. На проектируемой территории к потенциально опасным объектам относятся котельные, склады ГСМ.</w:t>
      </w:r>
    </w:p>
    <w:p w:rsidR="00FA1F4E" w:rsidRDefault="003B2CFF">
      <w:pPr>
        <w:pStyle w:val="a9"/>
        <w:widowControl w:val="0"/>
        <w:numPr>
          <w:ilvl w:val="0"/>
          <w:numId w:val="74"/>
        </w:numPr>
        <w:spacing w:after="0"/>
      </w:pPr>
      <w:r>
        <w:rPr>
          <w:b/>
        </w:rPr>
        <w:t>Авария на потенциально-опасном объекте Нижне-Свирская ГЭС-9</w:t>
      </w:r>
      <w:r>
        <w:t>. Наиболее опасным сценарием развития аварии на данном потенциально-опасном объекте будет разрушение Нижне-Свирского гидроузла. Результатом данной аварии будет кратковременный подъем воды р. Свирь в районе г. Лодейное Поле на 6,5 метров от нормального, который продержится в течение 2-х часов, в зону подтопления может попасть до 600 человек. При данном разрушении использование р. Свирь для транспортного движения будет невозможно длительное время.</w:t>
      </w:r>
    </w:p>
    <w:p w:rsidR="00FA1F4E" w:rsidRDefault="003B2CFF">
      <w:pPr>
        <w:pStyle w:val="a9"/>
        <w:widowControl w:val="0"/>
        <w:numPr>
          <w:ilvl w:val="0"/>
          <w:numId w:val="74"/>
        </w:numPr>
        <w:spacing w:after="0"/>
      </w:pPr>
      <w:r>
        <w:rPr>
          <w:b/>
        </w:rPr>
        <w:t>Пожары</w:t>
      </w:r>
      <w:r>
        <w:t xml:space="preserve">. Пожары возникают,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взрывов легко воспламеняемых веществ. 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w:t>
      </w:r>
      <w:r>
        <w:lastRenderedPageBreak/>
        <w:t>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 а также уничтожение природных ресурсов (лесные пожары).</w:t>
      </w:r>
    </w:p>
    <w:p w:rsidR="00FA1F4E" w:rsidRDefault="00FA1F4E"/>
    <w:p w:rsidR="00FA1F4E" w:rsidRDefault="003B2CFF">
      <w:pPr>
        <w:pStyle w:val="a9"/>
        <w:spacing w:after="0"/>
        <w:ind w:left="0"/>
      </w:pPr>
      <w:r>
        <w:rPr>
          <w:b/>
        </w:rPr>
        <w:t>Биолого-социальная чрезвычайная ситуация</w:t>
      </w:r>
      <w:r>
        <w:t xml:space="preserve">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 (ГОСТ Р 22.0.04-95 «Биолого-социальные чрезвычайные ситуации. Термины и определения»).</w:t>
      </w:r>
    </w:p>
    <w:p w:rsidR="00FA1F4E" w:rsidRDefault="003B2CFF">
      <w:pPr>
        <w:pStyle w:val="a9"/>
        <w:spacing w:after="0"/>
        <w:ind w:left="0"/>
      </w:pPr>
      <w:r>
        <w:t>Источник биолого-социальной чрезвычайной ситуации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(ГОСТ Р 22.0.04-95 «Биолого-социальные чрезвычайные ситуации. Термины и определения»).</w:t>
      </w:r>
    </w:p>
    <w:p w:rsidR="00FA1F4E" w:rsidRDefault="003B2CFF">
      <w:r>
        <w:t>Угроза возникновения биолого-социальных чрезвычайных ситуаций, по данным МЧС России, на территории Северо-Западного федерального округа, куда входит территория Ленинградской области, наименьшая по Российской Федерации. Эпидемий, эпизоотий, эпифитотий на территории не наблюдалось, природных очагов инфекционных заболеваний на территории нет. Возможны единичные случаи возникновения эпидемических (природных) очагов по клещевому энцефалиту. Вспышки заболеваний возможны в весенне-летний период.</w:t>
      </w:r>
    </w:p>
    <w:p w:rsidR="00FA1F4E" w:rsidRDefault="003B2CFF">
      <w:pPr>
        <w:pStyle w:val="afff6"/>
        <w:ind w:firstLine="709"/>
      </w:pPr>
      <w:r>
        <w:t xml:space="preserve">Источниками ЧС биолого-социального характера могут быть биологически опасные объекты (скотомогильники, биотермические ямы и другие), а также природные очаги инфекционных болезней. Скотомогильники, биотермические ямы и другие места захоронения трупов животных, павших от сибирской язвы, на территории проектирования и на прилегающих территориях отсутствуют. </w:t>
      </w:r>
    </w:p>
    <w:p w:rsidR="00FA1F4E" w:rsidRDefault="00FA1F4E">
      <w:pPr>
        <w:ind w:firstLine="0"/>
      </w:pPr>
    </w:p>
    <w:p w:rsidR="00FA1F4E" w:rsidRDefault="00FA1F4E">
      <w:pPr>
        <w:ind w:firstLine="0"/>
        <w:sectPr w:rsidR="00FA1F4E">
          <w:pgSz w:w="11906" w:h="16838"/>
          <w:pgMar w:top="1134" w:right="567" w:bottom="1134" w:left="1134" w:header="708" w:footer="708" w:gutter="0"/>
          <w:cols w:space="708"/>
          <w:titlePg/>
          <w:docGrid w:linePitch="360"/>
        </w:sectPr>
      </w:pPr>
    </w:p>
    <w:p w:rsidR="00FA1F4E" w:rsidRDefault="003B2CFF">
      <w:pPr>
        <w:pStyle w:val="1"/>
      </w:pPr>
      <w:bookmarkStart w:id="37" w:name="_Toc106831770"/>
      <w:r>
        <w:lastRenderedPageBreak/>
        <w:t>Приложение 1. Перечень объектов культурного наследия, расположенных на территории города Лодейное Поле</w:t>
      </w:r>
      <w:bookmarkEnd w:id="37"/>
    </w:p>
    <w:p w:rsidR="00FA1F4E" w:rsidRDefault="00FA1F4E"/>
    <w:tbl>
      <w:tblPr>
        <w:tblStyle w:val="affc"/>
        <w:tblW w:w="4988" w:type="pct"/>
        <w:tblLook w:val="04A0" w:firstRow="1" w:lastRow="0" w:firstColumn="1" w:lastColumn="0" w:noHBand="0" w:noVBand="1"/>
      </w:tblPr>
      <w:tblGrid>
        <w:gridCol w:w="947"/>
        <w:gridCol w:w="2192"/>
        <w:gridCol w:w="2918"/>
        <w:gridCol w:w="2985"/>
        <w:gridCol w:w="1866"/>
        <w:gridCol w:w="2146"/>
        <w:gridCol w:w="1697"/>
      </w:tblGrid>
      <w:tr w:rsidR="00FA1F4E">
        <w:trPr>
          <w:trHeight w:val="20"/>
          <w:tblHeader/>
        </w:trPr>
        <w:tc>
          <w:tcPr>
            <w:tcW w:w="325" w:type="pct"/>
          </w:tcPr>
          <w:p w:rsidR="00FA1F4E" w:rsidRDefault="003B2CFF">
            <w:pPr>
              <w:pStyle w:val="afff2"/>
              <w:ind w:firstLine="0"/>
              <w:jc w:val="center"/>
              <w:rPr>
                <w:rFonts w:cs="Times New Roman"/>
              </w:rPr>
            </w:pPr>
            <w:r>
              <w:rPr>
                <w:rFonts w:cs="Times New Roman"/>
              </w:rPr>
              <w:t>№</w:t>
            </w:r>
          </w:p>
        </w:tc>
        <w:tc>
          <w:tcPr>
            <w:tcW w:w="747" w:type="pct"/>
          </w:tcPr>
          <w:p w:rsidR="00FA1F4E" w:rsidRDefault="003B2CFF">
            <w:pPr>
              <w:pStyle w:val="afff2"/>
              <w:ind w:firstLine="0"/>
              <w:jc w:val="center"/>
              <w:rPr>
                <w:rFonts w:cs="Times New Roman"/>
              </w:rPr>
            </w:pPr>
            <w:r>
              <w:rPr>
                <w:rFonts w:cs="Times New Roman"/>
              </w:rPr>
              <w:t>Наименование объекта культурного наследия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993" w:type="pct"/>
          </w:tcPr>
          <w:p w:rsidR="00FA1F4E" w:rsidRDefault="003B2CFF">
            <w:pPr>
              <w:pStyle w:val="afff2"/>
              <w:ind w:firstLine="0"/>
              <w:jc w:val="center"/>
              <w:rPr>
                <w:rFonts w:cs="Times New Roman"/>
              </w:rPr>
            </w:pPr>
            <w:r>
              <w:rPr>
                <w:rFonts w:cs="Times New Roman"/>
              </w:rPr>
              <w:t>Наименование и реквизиты нормативно-правового акта органа государственной власти субъекта Российской Федерации о его постановке на государственную охрану (включая наименование нормативного правового акта об уточнении пообъектного состава)</w:t>
            </w:r>
          </w:p>
        </w:tc>
        <w:tc>
          <w:tcPr>
            <w:tcW w:w="1016" w:type="pct"/>
          </w:tcPr>
          <w:p w:rsidR="00FA1F4E" w:rsidRDefault="003B2CFF">
            <w:pPr>
              <w:pStyle w:val="afff2"/>
              <w:ind w:firstLine="0"/>
              <w:jc w:val="center"/>
              <w:rPr>
                <w:rFonts w:cs="Times New Roman"/>
              </w:rPr>
            </w:pPr>
            <w:r>
              <w:rPr>
                <w:rFonts w:cs="Times New Roman"/>
              </w:rPr>
              <w:t>Местонахождение объекта культурного наследия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632" w:type="pct"/>
          </w:tcPr>
          <w:p w:rsidR="00FA1F4E" w:rsidRDefault="003B2CFF">
            <w:pPr>
              <w:pStyle w:val="afff2"/>
              <w:ind w:firstLine="0"/>
              <w:jc w:val="center"/>
              <w:rPr>
                <w:rFonts w:cs="Times New Roman"/>
              </w:rPr>
            </w:pPr>
            <w:r>
              <w:rPr>
                <w:rFonts w:cs="Times New Roman"/>
              </w:rPr>
              <w:t>Номер регистрации (учётный номер) в ЕГРОКН</w:t>
            </w:r>
          </w:p>
        </w:tc>
        <w:tc>
          <w:tcPr>
            <w:tcW w:w="731" w:type="pct"/>
          </w:tcPr>
          <w:p w:rsidR="00FA1F4E" w:rsidRDefault="003B2CFF">
            <w:pPr>
              <w:pStyle w:val="afff2"/>
              <w:ind w:firstLine="0"/>
              <w:jc w:val="center"/>
              <w:rPr>
                <w:rFonts w:cs="Times New Roman"/>
              </w:rPr>
            </w:pPr>
            <w:r>
              <w:rPr>
                <w:rFonts w:cs="Times New Roman"/>
              </w:rPr>
              <w:t>Границы территории объекта культурного наследия</w:t>
            </w:r>
          </w:p>
        </w:tc>
        <w:tc>
          <w:tcPr>
            <w:tcW w:w="554" w:type="pct"/>
          </w:tcPr>
          <w:p w:rsidR="00FA1F4E" w:rsidRDefault="003B2CFF">
            <w:pPr>
              <w:pStyle w:val="afff2"/>
              <w:ind w:firstLine="0"/>
              <w:jc w:val="center"/>
              <w:rPr>
                <w:rFonts w:cs="Times New Roman"/>
              </w:rPr>
            </w:pPr>
            <w:r>
              <w:rPr>
                <w:rFonts w:cs="Times New Roman"/>
              </w:rPr>
              <w:t>Размер защитной зоны</w:t>
            </w:r>
          </w:p>
        </w:tc>
      </w:tr>
      <w:tr w:rsidR="00FA1F4E">
        <w:trPr>
          <w:trHeight w:val="20"/>
        </w:trPr>
        <w:tc>
          <w:tcPr>
            <w:tcW w:w="5000" w:type="pct"/>
            <w:gridSpan w:val="7"/>
          </w:tcPr>
          <w:p w:rsidR="00FA1F4E" w:rsidRDefault="003B2CFF">
            <w:pPr>
              <w:pStyle w:val="afff2"/>
              <w:numPr>
                <w:ilvl w:val="0"/>
                <w:numId w:val="76"/>
              </w:numPr>
              <w:ind w:firstLine="0"/>
              <w:jc w:val="center"/>
              <w:rPr>
                <w:rFonts w:cs="Times New Roman"/>
              </w:rPr>
            </w:pPr>
            <w:r>
              <w:rPr>
                <w:rFonts w:cs="Times New Roman"/>
              </w:rPr>
              <w:t>Объекты культурного наследия федерального значения</w:t>
            </w:r>
          </w:p>
        </w:tc>
      </w:tr>
      <w:tr w:rsidR="00FA1F4E">
        <w:trPr>
          <w:trHeight w:val="20"/>
        </w:trPr>
        <w:tc>
          <w:tcPr>
            <w:tcW w:w="325" w:type="pct"/>
          </w:tcPr>
          <w:p w:rsidR="00FA1F4E" w:rsidRDefault="003B2CFF">
            <w:pPr>
              <w:pStyle w:val="afff2"/>
              <w:ind w:firstLine="0"/>
              <w:jc w:val="center"/>
              <w:rPr>
                <w:rFonts w:cs="Times New Roman"/>
              </w:rPr>
            </w:pPr>
            <w:r>
              <w:rPr>
                <w:rFonts w:eastAsia="Calibri" w:cs="Times New Roman"/>
              </w:rPr>
              <w:t>1.1</w:t>
            </w:r>
          </w:p>
        </w:tc>
        <w:tc>
          <w:tcPr>
            <w:tcW w:w="747" w:type="pct"/>
          </w:tcPr>
          <w:p w:rsidR="00FA1F4E" w:rsidRDefault="003B2CFF">
            <w:pPr>
              <w:pStyle w:val="afff2"/>
              <w:ind w:firstLine="0"/>
              <w:jc w:val="center"/>
              <w:rPr>
                <w:rFonts w:cs="Times New Roman"/>
              </w:rPr>
            </w:pPr>
            <w:r>
              <w:rPr>
                <w:rFonts w:cs="Times New Roman"/>
              </w:rPr>
              <w:t>Обелиск, установленный на месте дома, в котором жил Петр I во время посещения Олонецкой верфи</w:t>
            </w:r>
          </w:p>
        </w:tc>
        <w:tc>
          <w:tcPr>
            <w:tcW w:w="993" w:type="pct"/>
          </w:tcPr>
          <w:p w:rsidR="00FA1F4E" w:rsidRDefault="003B2CFF">
            <w:pPr>
              <w:pStyle w:val="afff2"/>
              <w:ind w:firstLine="0"/>
              <w:jc w:val="center"/>
              <w:rPr>
                <w:rFonts w:cs="Times New Roman"/>
              </w:rPr>
            </w:pPr>
            <w:r>
              <w:rPr>
                <w:rFonts w:cs="Times New Roman"/>
              </w:rPr>
              <w:t>Постановление СМ РСФСР № 624 от 04.12.1974</w:t>
            </w:r>
          </w:p>
        </w:tc>
        <w:tc>
          <w:tcPr>
            <w:tcW w:w="1016" w:type="pct"/>
          </w:tcPr>
          <w:p w:rsidR="00FA1F4E" w:rsidRDefault="003B2CFF">
            <w:pPr>
              <w:pStyle w:val="afff2"/>
              <w:ind w:firstLine="0"/>
              <w:jc w:val="center"/>
              <w:rPr>
                <w:rFonts w:cs="Times New Roman"/>
              </w:rPr>
            </w:pPr>
            <w:r>
              <w:rPr>
                <w:rFonts w:cs="Times New Roman"/>
              </w:rPr>
              <w:t>г. Лодейное Поле, пр. Урицкого, д. 1б (постановление главы администрации муниципального образования «Лодейнопольский муниципальный район» Ленинградской области от 13 ноября 2015 года № 1398)</w:t>
            </w:r>
          </w:p>
        </w:tc>
        <w:tc>
          <w:tcPr>
            <w:tcW w:w="632" w:type="pct"/>
          </w:tcPr>
          <w:p w:rsidR="00FA1F4E" w:rsidRDefault="003B2CFF">
            <w:pPr>
              <w:pStyle w:val="afff2"/>
              <w:ind w:firstLine="0"/>
              <w:jc w:val="center"/>
              <w:rPr>
                <w:rFonts w:cs="Times New Roman"/>
              </w:rPr>
            </w:pPr>
            <w:r>
              <w:rPr>
                <w:rFonts w:cs="Times New Roman"/>
              </w:rPr>
              <w:t>471510383110006</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01-03/19-475 от 21.11.2019</w:t>
            </w:r>
          </w:p>
        </w:tc>
        <w:tc>
          <w:tcPr>
            <w:tcW w:w="1640" w:type="dxa"/>
          </w:tcPr>
          <w:p w:rsidR="00FA1F4E" w:rsidRDefault="003B2CFF">
            <w:pPr>
              <w:pStyle w:val="afff2"/>
              <w:ind w:firstLine="0"/>
              <w:jc w:val="center"/>
              <w:rPr>
                <w:rFonts w:cs="Times New Roman"/>
              </w:rPr>
            </w:pPr>
            <w:r>
              <w:rPr>
                <w:rFonts w:cs="Times New Roman"/>
              </w:rPr>
              <w:t>Не подлежит установлению</w:t>
            </w:r>
            <w:r>
              <w:rPr>
                <w:rStyle w:val="af8"/>
                <w:rFonts w:cs="Times New Roman"/>
              </w:rPr>
              <w:footnoteReference w:id="9"/>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1.2</w:t>
            </w:r>
          </w:p>
        </w:tc>
        <w:tc>
          <w:tcPr>
            <w:tcW w:w="747" w:type="pct"/>
          </w:tcPr>
          <w:p w:rsidR="00FA1F4E" w:rsidRDefault="003B2CFF">
            <w:pPr>
              <w:pStyle w:val="afff2"/>
              <w:ind w:firstLine="0"/>
              <w:jc w:val="center"/>
              <w:rPr>
                <w:rFonts w:cs="Times New Roman"/>
              </w:rPr>
            </w:pPr>
            <w:r>
              <w:rPr>
                <w:rFonts w:cs="Times New Roman"/>
              </w:rPr>
              <w:t>Обелиск советским воинам, принимавшим участие в форсировании реки Свирь в июне 1944 г.</w:t>
            </w:r>
          </w:p>
        </w:tc>
        <w:tc>
          <w:tcPr>
            <w:tcW w:w="993" w:type="pct"/>
          </w:tcPr>
          <w:p w:rsidR="00FA1F4E" w:rsidRDefault="003B2CFF">
            <w:pPr>
              <w:pStyle w:val="afff2"/>
              <w:ind w:firstLine="0"/>
              <w:jc w:val="center"/>
              <w:rPr>
                <w:rFonts w:cs="Times New Roman"/>
              </w:rPr>
            </w:pPr>
            <w:r>
              <w:rPr>
                <w:rFonts w:cs="Times New Roman"/>
              </w:rPr>
              <w:t>Постановление СМ РСФСР № 624 от 04.12.1974</w:t>
            </w:r>
          </w:p>
        </w:tc>
        <w:tc>
          <w:tcPr>
            <w:tcW w:w="1016" w:type="pct"/>
          </w:tcPr>
          <w:p w:rsidR="00FA1F4E" w:rsidRDefault="003B2CFF">
            <w:pPr>
              <w:pStyle w:val="afff2"/>
              <w:ind w:firstLine="0"/>
              <w:jc w:val="center"/>
              <w:rPr>
                <w:rFonts w:cs="Times New Roman"/>
              </w:rPr>
            </w:pPr>
            <w:r>
              <w:rPr>
                <w:rFonts w:cs="Times New Roman"/>
              </w:rPr>
              <w:t>г. Лодейное Поле, ул. Коммунаров, 2г (постановление главы администрации муниципального образования «Лодейнопольский муниципальный район» Ленинградской области от 16.04.2010 года № 194)</w:t>
            </w:r>
          </w:p>
        </w:tc>
        <w:tc>
          <w:tcPr>
            <w:tcW w:w="632" w:type="pct"/>
          </w:tcPr>
          <w:p w:rsidR="00FA1F4E" w:rsidRDefault="003B2CFF">
            <w:pPr>
              <w:pStyle w:val="afff2"/>
              <w:ind w:firstLine="0"/>
              <w:jc w:val="center"/>
              <w:rPr>
                <w:rFonts w:cs="Times New Roman"/>
              </w:rPr>
            </w:pPr>
            <w:r>
              <w:rPr>
                <w:rFonts w:cs="Times New Roman"/>
              </w:rPr>
              <w:t>471510269970006</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 xml:space="preserve">03/19-476 от 21.11.2019 </w:t>
            </w:r>
          </w:p>
        </w:tc>
        <w:tc>
          <w:tcPr>
            <w:tcW w:w="554" w:type="pct"/>
          </w:tcPr>
          <w:p w:rsidR="00FA1F4E" w:rsidRDefault="003B2CFF">
            <w:pPr>
              <w:pStyle w:val="afff2"/>
              <w:ind w:firstLine="0"/>
              <w:jc w:val="center"/>
              <w:rPr>
                <w:rFonts w:cs="Times New Roman"/>
              </w:rPr>
            </w:pPr>
            <w:r>
              <w:rPr>
                <w:rFonts w:cs="Times New Roman"/>
              </w:rPr>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1.3</w:t>
            </w:r>
          </w:p>
        </w:tc>
        <w:tc>
          <w:tcPr>
            <w:tcW w:w="747" w:type="pct"/>
          </w:tcPr>
          <w:p w:rsidR="00FA1F4E" w:rsidRDefault="003B2CFF">
            <w:pPr>
              <w:pStyle w:val="afff2"/>
              <w:ind w:firstLine="0"/>
              <w:jc w:val="center"/>
              <w:rPr>
                <w:rFonts w:cs="Times New Roman"/>
              </w:rPr>
            </w:pPr>
            <w:r>
              <w:rPr>
                <w:rFonts w:cs="Times New Roman"/>
              </w:rPr>
              <w:t>Мемориальный парк «Свирская Победа»</w:t>
            </w:r>
          </w:p>
        </w:tc>
        <w:tc>
          <w:tcPr>
            <w:tcW w:w="993" w:type="pct"/>
            <w:vMerge w:val="restart"/>
          </w:tcPr>
          <w:p w:rsidR="00FA1F4E" w:rsidRDefault="003B2CFF">
            <w:pPr>
              <w:pStyle w:val="afff2"/>
              <w:ind w:firstLine="0"/>
              <w:jc w:val="center"/>
              <w:rPr>
                <w:rFonts w:cs="Times New Roman"/>
              </w:rPr>
            </w:pPr>
            <w:r>
              <w:rPr>
                <w:rFonts w:cs="Times New Roman"/>
              </w:rPr>
              <w:t>Приказ Министерства культуры Российской Федерации от 21.01.2021 № 81</w:t>
            </w:r>
          </w:p>
        </w:tc>
        <w:tc>
          <w:tcPr>
            <w:tcW w:w="1016" w:type="pct"/>
            <w:vMerge w:val="restart"/>
          </w:tcPr>
          <w:p w:rsidR="00FA1F4E" w:rsidRDefault="003B2CFF">
            <w:pPr>
              <w:pStyle w:val="afff2"/>
              <w:ind w:firstLine="0"/>
              <w:jc w:val="center"/>
              <w:rPr>
                <w:rFonts w:cs="Times New Roman"/>
              </w:rPr>
            </w:pPr>
            <w:r>
              <w:rPr>
                <w:rFonts w:cs="Times New Roman"/>
              </w:rPr>
              <w:t>г. Лодейное Поле, пр. Ленина, 122а</w:t>
            </w:r>
          </w:p>
        </w:tc>
        <w:tc>
          <w:tcPr>
            <w:tcW w:w="632" w:type="pct"/>
          </w:tcPr>
          <w:p w:rsidR="00FA1F4E" w:rsidRDefault="003B2CFF">
            <w:pPr>
              <w:pStyle w:val="afff2"/>
              <w:ind w:firstLine="0"/>
              <w:jc w:val="center"/>
              <w:rPr>
                <w:rFonts w:cs="Times New Roman"/>
              </w:rPr>
            </w:pPr>
            <w:r>
              <w:rPr>
                <w:rFonts w:cs="Times New Roman"/>
              </w:rPr>
              <w:t>47-170185</w:t>
            </w:r>
          </w:p>
        </w:tc>
        <w:tc>
          <w:tcPr>
            <w:tcW w:w="731" w:type="pct"/>
            <w:vMerge w:val="restart"/>
          </w:tcPr>
          <w:p w:rsidR="00FA1F4E" w:rsidRDefault="003B2CFF">
            <w:pPr>
              <w:pStyle w:val="afff2"/>
              <w:ind w:firstLine="0"/>
              <w:jc w:val="center"/>
              <w:rPr>
                <w:rFonts w:cs="Times New Roman"/>
              </w:rPr>
            </w:pPr>
            <w:r>
              <w:rPr>
                <w:rFonts w:cs="Times New Roman"/>
              </w:rPr>
              <w:t>Приказ Министерства культуры Российской Федерации от 21.01.2021 № 81</w:t>
            </w:r>
          </w:p>
        </w:tc>
        <w:tc>
          <w:tcPr>
            <w:tcW w:w="554" w:type="pct"/>
            <w:vMerge w:val="restart"/>
          </w:tcPr>
          <w:p w:rsidR="00FA1F4E" w:rsidRDefault="003B2CFF">
            <w:pPr>
              <w:pStyle w:val="afff2"/>
              <w:ind w:firstLine="0"/>
              <w:jc w:val="center"/>
              <w:rPr>
                <w:rFonts w:cs="Times New Roman"/>
              </w:rPr>
            </w:pPr>
            <w:r>
              <w:rPr>
                <w:rFonts w:cs="Times New Roman"/>
              </w:rPr>
              <w:t>150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1.3.1</w:t>
            </w:r>
          </w:p>
        </w:tc>
        <w:tc>
          <w:tcPr>
            <w:tcW w:w="747" w:type="pct"/>
          </w:tcPr>
          <w:p w:rsidR="00FA1F4E" w:rsidRDefault="003B2CFF">
            <w:pPr>
              <w:pStyle w:val="afff2"/>
              <w:ind w:firstLine="0"/>
              <w:jc w:val="center"/>
              <w:rPr>
                <w:rFonts w:cs="Times New Roman"/>
              </w:rPr>
            </w:pPr>
            <w:r>
              <w:rPr>
                <w:rFonts w:cs="Times New Roman"/>
              </w:rPr>
              <w:t>Здание музея</w:t>
            </w:r>
          </w:p>
        </w:tc>
        <w:tc>
          <w:tcPr>
            <w:tcW w:w="993" w:type="pct"/>
            <w:vMerge/>
          </w:tcPr>
          <w:p w:rsidR="00FA1F4E" w:rsidRDefault="00FA1F4E">
            <w:pPr>
              <w:pStyle w:val="afff2"/>
              <w:ind w:firstLine="0"/>
              <w:jc w:val="center"/>
              <w:rPr>
                <w:rFonts w:cs="Times New Roman"/>
              </w:rPr>
            </w:pPr>
          </w:p>
        </w:tc>
        <w:tc>
          <w:tcPr>
            <w:tcW w:w="1016" w:type="pct"/>
            <w:vMerge/>
          </w:tcPr>
          <w:p w:rsidR="00FA1F4E" w:rsidRDefault="00FA1F4E">
            <w:pPr>
              <w:pStyle w:val="afff2"/>
              <w:ind w:firstLine="0"/>
              <w:jc w:val="center"/>
              <w:rPr>
                <w:rFonts w:cs="Times New Roman"/>
              </w:rPr>
            </w:pPr>
          </w:p>
        </w:tc>
        <w:tc>
          <w:tcPr>
            <w:tcW w:w="632" w:type="pct"/>
          </w:tcPr>
          <w:p w:rsidR="00FA1F4E" w:rsidRDefault="003B2CFF">
            <w:pPr>
              <w:pStyle w:val="afff2"/>
              <w:ind w:firstLine="0"/>
              <w:jc w:val="center"/>
              <w:rPr>
                <w:rFonts w:cs="Times New Roman"/>
              </w:rPr>
            </w:pPr>
            <w:r>
              <w:rPr>
                <w:rFonts w:cs="Times New Roman"/>
              </w:rPr>
              <w:t>47-171001</w:t>
            </w:r>
          </w:p>
        </w:tc>
        <w:tc>
          <w:tcPr>
            <w:tcW w:w="731" w:type="pct"/>
            <w:vMerge/>
          </w:tcPr>
          <w:p w:rsidR="00FA1F4E" w:rsidRDefault="00FA1F4E">
            <w:pPr>
              <w:pStyle w:val="afff2"/>
              <w:ind w:firstLine="0"/>
              <w:jc w:val="center"/>
              <w:rPr>
                <w:rFonts w:cs="Times New Roman"/>
              </w:rPr>
            </w:pPr>
          </w:p>
        </w:tc>
        <w:tc>
          <w:tcPr>
            <w:tcW w:w="554" w:type="pct"/>
            <w:vMerge/>
          </w:tcPr>
          <w:p w:rsidR="00FA1F4E" w:rsidRDefault="00FA1F4E">
            <w:pPr>
              <w:pStyle w:val="afff2"/>
              <w:ind w:firstLine="0"/>
              <w:jc w:val="center"/>
              <w:rPr>
                <w:rFonts w:cs="Times New Roman"/>
              </w:rPr>
            </w:pP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1.3.2</w:t>
            </w:r>
          </w:p>
        </w:tc>
        <w:tc>
          <w:tcPr>
            <w:tcW w:w="747" w:type="pct"/>
          </w:tcPr>
          <w:p w:rsidR="00FA1F4E" w:rsidRDefault="003B2CFF">
            <w:pPr>
              <w:pStyle w:val="afff2"/>
              <w:ind w:firstLine="0"/>
              <w:jc w:val="center"/>
              <w:rPr>
                <w:rFonts w:cs="Times New Roman"/>
              </w:rPr>
            </w:pPr>
            <w:r>
              <w:rPr>
                <w:rFonts w:cs="Times New Roman"/>
              </w:rPr>
              <w:t>Памятник «Приказ»</w:t>
            </w:r>
          </w:p>
        </w:tc>
        <w:tc>
          <w:tcPr>
            <w:tcW w:w="993" w:type="pct"/>
            <w:vMerge/>
          </w:tcPr>
          <w:p w:rsidR="00FA1F4E" w:rsidRDefault="00FA1F4E">
            <w:pPr>
              <w:pStyle w:val="afff2"/>
              <w:ind w:firstLine="0"/>
              <w:jc w:val="center"/>
              <w:rPr>
                <w:rFonts w:cs="Times New Roman"/>
              </w:rPr>
            </w:pPr>
          </w:p>
        </w:tc>
        <w:tc>
          <w:tcPr>
            <w:tcW w:w="1016" w:type="pct"/>
            <w:vMerge/>
          </w:tcPr>
          <w:p w:rsidR="00FA1F4E" w:rsidRDefault="00FA1F4E">
            <w:pPr>
              <w:pStyle w:val="afff2"/>
              <w:ind w:firstLine="0"/>
              <w:jc w:val="center"/>
              <w:rPr>
                <w:rFonts w:cs="Times New Roman"/>
              </w:rPr>
            </w:pPr>
          </w:p>
        </w:tc>
        <w:tc>
          <w:tcPr>
            <w:tcW w:w="632" w:type="pct"/>
          </w:tcPr>
          <w:p w:rsidR="00FA1F4E" w:rsidRDefault="003B2CFF">
            <w:pPr>
              <w:pStyle w:val="afff2"/>
              <w:ind w:firstLine="0"/>
              <w:jc w:val="center"/>
              <w:rPr>
                <w:rFonts w:cs="Times New Roman"/>
              </w:rPr>
            </w:pPr>
            <w:r>
              <w:rPr>
                <w:rFonts w:cs="Times New Roman"/>
              </w:rPr>
              <w:t>47-170186</w:t>
            </w:r>
          </w:p>
        </w:tc>
        <w:tc>
          <w:tcPr>
            <w:tcW w:w="731" w:type="pct"/>
            <w:vMerge/>
          </w:tcPr>
          <w:p w:rsidR="00FA1F4E" w:rsidRDefault="00FA1F4E">
            <w:pPr>
              <w:pStyle w:val="afff2"/>
              <w:ind w:firstLine="0"/>
              <w:jc w:val="center"/>
              <w:rPr>
                <w:rFonts w:cs="Times New Roman"/>
              </w:rPr>
            </w:pPr>
          </w:p>
        </w:tc>
        <w:tc>
          <w:tcPr>
            <w:tcW w:w="554" w:type="pct"/>
            <w:vMerge/>
          </w:tcPr>
          <w:p w:rsidR="00FA1F4E" w:rsidRDefault="00FA1F4E">
            <w:pPr>
              <w:pStyle w:val="afff2"/>
              <w:ind w:firstLine="0"/>
              <w:jc w:val="center"/>
              <w:rPr>
                <w:rFonts w:cs="Times New Roman"/>
              </w:rPr>
            </w:pPr>
          </w:p>
        </w:tc>
      </w:tr>
      <w:tr w:rsidR="00FA1F4E">
        <w:trPr>
          <w:trHeight w:val="20"/>
        </w:trPr>
        <w:tc>
          <w:tcPr>
            <w:tcW w:w="5000" w:type="pct"/>
            <w:gridSpan w:val="7"/>
          </w:tcPr>
          <w:p w:rsidR="00FA1F4E" w:rsidRDefault="003B2CFF">
            <w:pPr>
              <w:pStyle w:val="afff2"/>
              <w:numPr>
                <w:ilvl w:val="0"/>
                <w:numId w:val="76"/>
              </w:numPr>
              <w:ind w:firstLine="0"/>
              <w:jc w:val="center"/>
              <w:rPr>
                <w:rFonts w:cs="Times New Roman"/>
              </w:rPr>
            </w:pPr>
            <w:r>
              <w:rPr>
                <w:rFonts w:cs="Times New Roman"/>
              </w:rPr>
              <w:t>Объекты культурного наследия регионального значения</w:t>
            </w:r>
          </w:p>
        </w:tc>
      </w:tr>
      <w:tr w:rsidR="00FA1F4E">
        <w:trPr>
          <w:trHeight w:val="20"/>
        </w:trPr>
        <w:tc>
          <w:tcPr>
            <w:tcW w:w="325" w:type="pct"/>
          </w:tcPr>
          <w:p w:rsidR="00FA1F4E" w:rsidRDefault="003B2CFF">
            <w:pPr>
              <w:pStyle w:val="afff2"/>
              <w:ind w:firstLine="0"/>
              <w:jc w:val="center"/>
              <w:rPr>
                <w:rFonts w:cs="Times New Roman"/>
              </w:rPr>
            </w:pPr>
            <w:r>
              <w:rPr>
                <w:rFonts w:eastAsia="Calibri" w:cs="Times New Roman"/>
              </w:rPr>
              <w:t>2.1</w:t>
            </w:r>
          </w:p>
        </w:tc>
        <w:tc>
          <w:tcPr>
            <w:tcW w:w="747" w:type="pct"/>
          </w:tcPr>
          <w:p w:rsidR="00FA1F4E" w:rsidRDefault="003B2CFF">
            <w:pPr>
              <w:pStyle w:val="afff2"/>
              <w:ind w:firstLine="0"/>
              <w:jc w:val="center"/>
              <w:rPr>
                <w:rFonts w:cs="Times New Roman"/>
              </w:rPr>
            </w:pPr>
            <w:r>
              <w:rPr>
                <w:rFonts w:cs="Times New Roman"/>
              </w:rPr>
              <w:t>Дом, в котором в январе 1918 г. состоялся первый съезд Советов рабочих, крестьянских и солдатских депутатов Лодейнопольского уезда</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337 от 27.08.1979 г.</w:t>
            </w:r>
          </w:p>
        </w:tc>
        <w:tc>
          <w:tcPr>
            <w:tcW w:w="1016" w:type="pct"/>
          </w:tcPr>
          <w:p w:rsidR="00FA1F4E" w:rsidRDefault="003B2CFF">
            <w:pPr>
              <w:pStyle w:val="afff2"/>
              <w:ind w:firstLine="0"/>
              <w:jc w:val="center"/>
              <w:rPr>
                <w:rFonts w:cs="Times New Roman"/>
              </w:rPr>
            </w:pPr>
            <w:r>
              <w:rPr>
                <w:rFonts w:cs="Times New Roman"/>
              </w:rPr>
              <w:t>Ленинградская область, г. Лодейное Поле, ул. Урицкого, 10 (Ленинградская область, Лодейнопольский муниципальный район, Лодейнопольское городское поселение, г. Лодейное Поле, пр. Урицкого, 4)</w:t>
            </w:r>
          </w:p>
        </w:tc>
        <w:tc>
          <w:tcPr>
            <w:tcW w:w="632" w:type="pct"/>
          </w:tcPr>
          <w:p w:rsidR="00FA1F4E" w:rsidRDefault="003B2CFF">
            <w:pPr>
              <w:pStyle w:val="afff2"/>
              <w:ind w:firstLine="0"/>
              <w:jc w:val="center"/>
              <w:rPr>
                <w:rFonts w:cs="Times New Roman"/>
              </w:rPr>
            </w:pPr>
            <w:r>
              <w:rPr>
                <w:rFonts w:cs="Times New Roman"/>
              </w:rPr>
              <w:t>471710945310005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01-03/20-71 от 16.03.2020</w:t>
            </w:r>
          </w:p>
        </w:tc>
        <w:tc>
          <w:tcPr>
            <w:tcW w:w="554" w:type="pct"/>
          </w:tcPr>
          <w:p w:rsidR="00FA1F4E" w:rsidRDefault="003B2CFF">
            <w:pPr>
              <w:pStyle w:val="afff2"/>
              <w:ind w:firstLine="0"/>
              <w:jc w:val="center"/>
              <w:rPr>
                <w:rFonts w:cs="Times New Roman"/>
              </w:rPr>
            </w:pPr>
            <w:r>
              <w:rPr>
                <w:rFonts w:cs="Times New Roman"/>
              </w:rPr>
              <w:t>100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2.2</w:t>
            </w:r>
          </w:p>
        </w:tc>
        <w:tc>
          <w:tcPr>
            <w:tcW w:w="747" w:type="pct"/>
          </w:tcPr>
          <w:p w:rsidR="00FA1F4E" w:rsidRDefault="003B2CFF">
            <w:pPr>
              <w:pStyle w:val="afff2"/>
              <w:ind w:firstLine="0"/>
              <w:jc w:val="center"/>
              <w:rPr>
                <w:rFonts w:cs="Times New Roman"/>
              </w:rPr>
            </w:pPr>
            <w:r>
              <w:rPr>
                <w:rFonts w:cs="Times New Roman"/>
              </w:rPr>
              <w:t xml:space="preserve">Каменная плита на месте судоверфи, заложенной Петром </w:t>
            </w:r>
            <w:r>
              <w:rPr>
                <w:rFonts w:cs="Times New Roman"/>
                <w:lang w:val="en-US"/>
              </w:rPr>
              <w:t>I</w:t>
            </w:r>
            <w:r>
              <w:rPr>
                <w:rFonts w:cs="Times New Roman"/>
              </w:rPr>
              <w:t xml:space="preserve"> в 1703 г.</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депутатов трудящихся № 59</w:t>
            </w:r>
            <w:r>
              <w:rPr>
                <w:rFonts w:cs="Times New Roman"/>
              </w:rPr>
              <w:softHyphen/>
              <w:t>18 от 08.08.1950 г.</w:t>
            </w:r>
          </w:p>
        </w:tc>
        <w:tc>
          <w:tcPr>
            <w:tcW w:w="1016" w:type="pct"/>
          </w:tcPr>
          <w:p w:rsidR="00FA1F4E" w:rsidRDefault="003B2CFF">
            <w:pPr>
              <w:pStyle w:val="afff2"/>
              <w:ind w:firstLine="0"/>
              <w:jc w:val="center"/>
              <w:rPr>
                <w:rFonts w:cs="Times New Roman"/>
              </w:rPr>
            </w:pPr>
            <w:r>
              <w:rPr>
                <w:rFonts w:cs="Times New Roman"/>
              </w:rPr>
              <w:t xml:space="preserve">Ленинградская область, Лодейнопольский район, г. Лодейное Поле, набережная р. Свирь между ул. Урицкого и ул. Комсомольской (Ленинградская область, Лодейнопольский муниципальный район, Лодейнопольское городское </w:t>
            </w:r>
            <w:r>
              <w:rPr>
                <w:rFonts w:cs="Times New Roman"/>
              </w:rPr>
              <w:lastRenderedPageBreak/>
              <w:t>поселение, г. Лодейное Поле, пр. Ленина, 2г)</w:t>
            </w:r>
          </w:p>
        </w:tc>
        <w:tc>
          <w:tcPr>
            <w:tcW w:w="632" w:type="pct"/>
          </w:tcPr>
          <w:p w:rsidR="00FA1F4E" w:rsidRDefault="003B2CFF">
            <w:pPr>
              <w:pStyle w:val="afff2"/>
              <w:ind w:firstLine="0"/>
              <w:jc w:val="center"/>
              <w:rPr>
                <w:rFonts w:cs="Times New Roman"/>
              </w:rPr>
            </w:pPr>
            <w:r>
              <w:rPr>
                <w:rFonts w:cs="Times New Roman"/>
              </w:rPr>
              <w:lastRenderedPageBreak/>
              <w:t>471711247580005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01-03/20-72 от 16.03.2020</w:t>
            </w:r>
          </w:p>
        </w:tc>
        <w:tc>
          <w:tcPr>
            <w:tcW w:w="1640" w:type="dxa"/>
          </w:tcPr>
          <w:p w:rsidR="00FA1F4E" w:rsidRDefault="003B2CFF">
            <w:pPr>
              <w:pStyle w:val="afff2"/>
              <w:ind w:firstLine="0"/>
              <w:jc w:val="center"/>
              <w:rPr>
                <w:rFonts w:cs="Times New Roman"/>
              </w:rPr>
            </w:pPr>
            <w:r>
              <w:rPr>
                <w:rFonts w:cs="Times New Roman"/>
              </w:rPr>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2.3</w:t>
            </w:r>
          </w:p>
        </w:tc>
        <w:tc>
          <w:tcPr>
            <w:tcW w:w="747" w:type="pct"/>
          </w:tcPr>
          <w:p w:rsidR="00FA1F4E" w:rsidRDefault="003B2CFF">
            <w:pPr>
              <w:pStyle w:val="afff2"/>
              <w:ind w:firstLine="0"/>
              <w:jc w:val="center"/>
              <w:rPr>
                <w:rFonts w:cs="Times New Roman"/>
              </w:rPr>
            </w:pPr>
            <w:r>
              <w:rPr>
                <w:rFonts w:cs="Times New Roman"/>
              </w:rPr>
              <w:t>Здание, где в 1919 г. помещался штаб Онежской военной флотилии, принимавшей участие в разгроме белогвардейских войск близ Лодейного Поля.</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депутатов трудящихся № 20</w:t>
            </w:r>
            <w:r>
              <w:rPr>
                <w:rFonts w:cs="Times New Roman"/>
              </w:rPr>
              <w:softHyphen/>
              <w:t>5 от 04.09.1959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Ленина, 49 (Ленинградская область, Лодейнопольский муниципальный район, Лодейнопольское городское поселение, г. Лодейное Поле, пр. Ленина, 41)</w:t>
            </w:r>
          </w:p>
        </w:tc>
        <w:tc>
          <w:tcPr>
            <w:tcW w:w="632" w:type="pct"/>
          </w:tcPr>
          <w:p w:rsidR="00FA1F4E" w:rsidRDefault="003B2CFF">
            <w:pPr>
              <w:pStyle w:val="afff2"/>
              <w:ind w:firstLine="0"/>
              <w:jc w:val="center"/>
              <w:rPr>
                <w:rFonts w:cs="Times New Roman"/>
              </w:rPr>
            </w:pPr>
            <w:r>
              <w:rPr>
                <w:rFonts w:cs="Times New Roman"/>
              </w:rPr>
              <w:t>471710918370005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 xml:space="preserve">03/19-176 от 15.03.2019 </w:t>
            </w:r>
          </w:p>
        </w:tc>
        <w:tc>
          <w:tcPr>
            <w:tcW w:w="554" w:type="pct"/>
          </w:tcPr>
          <w:p w:rsidR="00FA1F4E" w:rsidRDefault="003B2CFF">
            <w:pPr>
              <w:pStyle w:val="afff2"/>
              <w:ind w:firstLine="0"/>
              <w:jc w:val="center"/>
              <w:rPr>
                <w:rFonts w:cs="Times New Roman"/>
              </w:rPr>
            </w:pPr>
            <w:r>
              <w:rPr>
                <w:rFonts w:cs="Times New Roman"/>
              </w:rPr>
              <w:t>100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2.4</w:t>
            </w:r>
          </w:p>
        </w:tc>
        <w:tc>
          <w:tcPr>
            <w:tcW w:w="747" w:type="pct"/>
          </w:tcPr>
          <w:p w:rsidR="00FA1F4E" w:rsidRDefault="003B2CFF">
            <w:pPr>
              <w:pStyle w:val="afff2"/>
              <w:ind w:firstLine="0"/>
              <w:jc w:val="center"/>
              <w:rPr>
                <w:rFonts w:cs="Times New Roman"/>
              </w:rPr>
            </w:pPr>
            <w:r>
              <w:rPr>
                <w:rFonts w:cs="Times New Roman"/>
              </w:rPr>
              <w:t>Памятный знак – стела воинам 303 гв. стрелкового полка 99 гв. воздушно</w:t>
            </w:r>
            <w:r>
              <w:rPr>
                <w:rFonts w:cs="Times New Roman"/>
              </w:rPr>
              <w:softHyphen/>
              <w:t>-десантной дивизии, наводившим в этом месте переправы при форсировании Свири 21.06.44 г.</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 xml:space="preserve">Ленинградская область, Лодейнопольский район, г. Лодейное Поле, на сев– вост. окраине города, близ водозаборной станции (Ленинградская область, Лодейнопольский муниципальный район, Лодейнопольское городское поселение, г. Лодейное Поле, урочище </w:t>
            </w:r>
            <w:r>
              <w:rPr>
                <w:rFonts w:cs="Times New Roman"/>
              </w:rPr>
              <w:lastRenderedPageBreak/>
              <w:t>Мирошкиничи, 2а)</w:t>
            </w:r>
          </w:p>
        </w:tc>
        <w:tc>
          <w:tcPr>
            <w:tcW w:w="632" w:type="pct"/>
          </w:tcPr>
          <w:p w:rsidR="00FA1F4E" w:rsidRDefault="003B2CFF">
            <w:pPr>
              <w:pStyle w:val="afff2"/>
              <w:ind w:firstLine="0"/>
              <w:jc w:val="center"/>
              <w:rPr>
                <w:rFonts w:cs="Times New Roman"/>
              </w:rPr>
            </w:pPr>
            <w:r>
              <w:rPr>
                <w:rFonts w:cs="Times New Roman"/>
              </w:rPr>
              <w:lastRenderedPageBreak/>
              <w:t>471710918380005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 xml:space="preserve">03/19-185 от 15.03.2019 </w:t>
            </w:r>
          </w:p>
        </w:tc>
        <w:tc>
          <w:tcPr>
            <w:tcW w:w="554" w:type="pct"/>
          </w:tcPr>
          <w:p w:rsidR="00FA1F4E" w:rsidRDefault="003B2CFF">
            <w:pPr>
              <w:pStyle w:val="afff2"/>
              <w:ind w:firstLine="0"/>
              <w:jc w:val="center"/>
              <w:rPr>
                <w:rFonts w:cs="Times New Roman"/>
              </w:rPr>
            </w:pPr>
            <w:r>
              <w:rPr>
                <w:rFonts w:cs="Times New Roman"/>
              </w:rPr>
              <w:t>Не подлежит установлению</w:t>
            </w:r>
            <w:r>
              <w:rPr>
                <w:rStyle w:val="af8"/>
                <w:rFonts w:cs="Times New Roman"/>
              </w:rPr>
              <w:footnoteReference w:id="10"/>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2.5</w:t>
            </w:r>
          </w:p>
        </w:tc>
        <w:tc>
          <w:tcPr>
            <w:tcW w:w="747" w:type="pct"/>
          </w:tcPr>
          <w:p w:rsidR="00FA1F4E" w:rsidRDefault="003B2CFF">
            <w:pPr>
              <w:pStyle w:val="afff2"/>
              <w:ind w:firstLine="0"/>
              <w:jc w:val="center"/>
              <w:rPr>
                <w:rFonts w:cs="Times New Roman"/>
              </w:rPr>
            </w:pPr>
            <w:r>
              <w:rPr>
                <w:rFonts w:cs="Times New Roman"/>
              </w:rPr>
              <w:t>Памятник-стела на рубеже обороны советских войск 1941-44 гг.</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Ленина, у речной пристани (Ленинградская область, Лодейнопольский муниципальный район, Лодейнопольское городское поселение, г. Лодейное Поле, ул. Коммунаров, 2д, сооружение 3)</w:t>
            </w:r>
          </w:p>
        </w:tc>
        <w:tc>
          <w:tcPr>
            <w:tcW w:w="632" w:type="pct"/>
          </w:tcPr>
          <w:p w:rsidR="00FA1F4E" w:rsidRDefault="003B2CFF">
            <w:pPr>
              <w:pStyle w:val="afff2"/>
              <w:ind w:firstLine="0"/>
              <w:jc w:val="center"/>
              <w:rPr>
                <w:rFonts w:cs="Times New Roman"/>
              </w:rPr>
            </w:pPr>
            <w:r>
              <w:rPr>
                <w:rFonts w:cs="Times New Roman"/>
              </w:rPr>
              <w:t>471710867140005</w:t>
            </w:r>
          </w:p>
        </w:tc>
        <w:tc>
          <w:tcPr>
            <w:tcW w:w="731" w:type="pct"/>
          </w:tcPr>
          <w:p w:rsidR="00FA1F4E" w:rsidRDefault="003B2CFF">
            <w:pPr>
              <w:pStyle w:val="afff2"/>
              <w:ind w:firstLine="0"/>
              <w:jc w:val="center"/>
              <w:rPr>
                <w:rFonts w:cs="Times New Roman"/>
              </w:rPr>
            </w:pPr>
            <w:r>
              <w:rPr>
                <w:rFonts w:cs="Times New Roman"/>
              </w:rPr>
              <w:t>Не установлены</w:t>
            </w:r>
          </w:p>
        </w:tc>
        <w:tc>
          <w:tcPr>
            <w:tcW w:w="1640" w:type="dxa"/>
          </w:tcPr>
          <w:p w:rsidR="00FA1F4E" w:rsidRDefault="003B2CFF">
            <w:pPr>
              <w:pStyle w:val="afff2"/>
              <w:ind w:firstLine="0"/>
              <w:jc w:val="center"/>
              <w:rPr>
                <w:rFonts w:cs="Times New Roman"/>
              </w:rPr>
            </w:pPr>
            <w:r>
              <w:rPr>
                <w:rFonts w:cs="Times New Roman"/>
              </w:rPr>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2.6</w:t>
            </w:r>
          </w:p>
        </w:tc>
        <w:tc>
          <w:tcPr>
            <w:tcW w:w="747" w:type="pct"/>
          </w:tcPr>
          <w:p w:rsidR="00FA1F4E" w:rsidRDefault="003B2CFF">
            <w:pPr>
              <w:pStyle w:val="afff2"/>
              <w:ind w:firstLine="0"/>
              <w:jc w:val="center"/>
              <w:rPr>
                <w:rFonts w:cs="Times New Roman"/>
              </w:rPr>
            </w:pPr>
            <w:r>
              <w:rPr>
                <w:rFonts w:cs="Times New Roman"/>
              </w:rPr>
              <w:t>Памятник-стела на месте, где 12 воинов героев 300-го воздушно-десантного полка 21.06.44 под огнем противника первыми переправились через р. Свирь и закрепились на противоположном берегу</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 Республиканского тракта, близ д. № 10 (Ленинградская область, Лодейнопольский муниципальный район, Лодейнопольское городское поселение, г. Лодейное Поле, Республиканский тракт,</w:t>
            </w:r>
          </w:p>
          <w:p w:rsidR="00FA1F4E" w:rsidRDefault="003B2CFF">
            <w:pPr>
              <w:pStyle w:val="afff2"/>
              <w:ind w:firstLine="0"/>
              <w:jc w:val="center"/>
              <w:rPr>
                <w:rFonts w:cs="Times New Roman"/>
              </w:rPr>
            </w:pPr>
            <w:r>
              <w:rPr>
                <w:rFonts w:cs="Times New Roman"/>
              </w:rPr>
              <w:t>11, корп. 3а)</w:t>
            </w:r>
          </w:p>
        </w:tc>
        <w:tc>
          <w:tcPr>
            <w:tcW w:w="632" w:type="pct"/>
          </w:tcPr>
          <w:p w:rsidR="00FA1F4E" w:rsidRDefault="003B2CFF">
            <w:pPr>
              <w:pStyle w:val="afff2"/>
              <w:ind w:firstLine="0"/>
              <w:jc w:val="center"/>
              <w:rPr>
                <w:rFonts w:cs="Times New Roman"/>
              </w:rPr>
            </w:pPr>
            <w:r>
              <w:rPr>
                <w:rFonts w:cs="Times New Roman"/>
              </w:rPr>
              <w:t>471710918400005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03/19-179 от 15.03.2019</w:t>
            </w:r>
          </w:p>
        </w:tc>
        <w:tc>
          <w:tcPr>
            <w:tcW w:w="1640" w:type="dxa"/>
          </w:tcPr>
          <w:p w:rsidR="00FA1F4E" w:rsidRDefault="003B2CFF">
            <w:pPr>
              <w:pStyle w:val="afff2"/>
              <w:ind w:firstLine="0"/>
              <w:jc w:val="center"/>
              <w:rPr>
                <w:rFonts w:cs="Times New Roman"/>
              </w:rPr>
            </w:pPr>
            <w:r>
              <w:rPr>
                <w:rFonts w:cs="Times New Roman"/>
              </w:rPr>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2.7</w:t>
            </w:r>
          </w:p>
        </w:tc>
        <w:tc>
          <w:tcPr>
            <w:tcW w:w="747" w:type="pct"/>
          </w:tcPr>
          <w:p w:rsidR="00FA1F4E" w:rsidRDefault="003B2CFF">
            <w:pPr>
              <w:pStyle w:val="afff2"/>
              <w:ind w:firstLine="0"/>
              <w:jc w:val="center"/>
              <w:rPr>
                <w:rFonts w:cs="Times New Roman"/>
              </w:rPr>
            </w:pPr>
            <w:r>
              <w:rPr>
                <w:rFonts w:cs="Times New Roman"/>
              </w:rPr>
              <w:t xml:space="preserve">Памятник-обелиск </w:t>
            </w:r>
            <w:r>
              <w:rPr>
                <w:rFonts w:cs="Times New Roman"/>
              </w:rPr>
              <w:lastRenderedPageBreak/>
              <w:t xml:space="preserve">воинам 297-го гв.стрелкового полка </w:t>
            </w:r>
            <w:r>
              <w:rPr>
                <w:rFonts w:cs="Times New Roman"/>
              </w:rPr>
              <w:softHyphen/>
              <w:t>на месте переправы через р. Свирь 21.06.44</w:t>
            </w:r>
          </w:p>
        </w:tc>
        <w:tc>
          <w:tcPr>
            <w:tcW w:w="993" w:type="pct"/>
          </w:tcPr>
          <w:p w:rsidR="00FA1F4E" w:rsidRDefault="003B2CFF">
            <w:pPr>
              <w:pStyle w:val="afff2"/>
              <w:ind w:firstLine="0"/>
              <w:jc w:val="center"/>
              <w:rPr>
                <w:rFonts w:cs="Times New Roman"/>
              </w:rPr>
            </w:pPr>
            <w:r>
              <w:rPr>
                <w:rFonts w:cs="Times New Roman"/>
              </w:rPr>
              <w:lastRenderedPageBreak/>
              <w:t xml:space="preserve">Решение Исполнительного </w:t>
            </w:r>
            <w:r>
              <w:rPr>
                <w:rFonts w:cs="Times New Roman"/>
              </w:rPr>
              <w:lastRenderedPageBreak/>
              <w:t>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lastRenderedPageBreak/>
              <w:t xml:space="preserve">Ленинградская область, </w:t>
            </w:r>
            <w:r>
              <w:rPr>
                <w:rFonts w:cs="Times New Roman"/>
              </w:rPr>
              <w:lastRenderedPageBreak/>
              <w:t>Лодейнопольский район, г. Лодейное Поле, близ ул. Урицкого и Дома культуры</w:t>
            </w:r>
          </w:p>
        </w:tc>
        <w:tc>
          <w:tcPr>
            <w:tcW w:w="632" w:type="pct"/>
          </w:tcPr>
          <w:p w:rsidR="00FA1F4E" w:rsidRDefault="003B2CFF">
            <w:pPr>
              <w:pStyle w:val="afff2"/>
              <w:ind w:firstLine="0"/>
              <w:jc w:val="center"/>
              <w:rPr>
                <w:rFonts w:cs="Times New Roman"/>
              </w:rPr>
            </w:pPr>
            <w:r>
              <w:rPr>
                <w:rFonts w:cs="Times New Roman"/>
              </w:rPr>
              <w:lastRenderedPageBreak/>
              <w:t>471410064730005</w:t>
            </w:r>
          </w:p>
        </w:tc>
        <w:tc>
          <w:tcPr>
            <w:tcW w:w="731" w:type="pct"/>
          </w:tcPr>
          <w:p w:rsidR="00FA1F4E" w:rsidRDefault="003B2CFF">
            <w:pPr>
              <w:pStyle w:val="afff2"/>
              <w:ind w:firstLine="0"/>
              <w:jc w:val="center"/>
              <w:rPr>
                <w:rFonts w:cs="Times New Roman"/>
              </w:rPr>
            </w:pPr>
            <w:r>
              <w:rPr>
                <w:rFonts w:cs="Times New Roman"/>
              </w:rPr>
              <w:t xml:space="preserve">Приказ комитета по </w:t>
            </w:r>
            <w:r>
              <w:rPr>
                <w:rFonts w:cs="Times New Roman"/>
              </w:rPr>
              <w:lastRenderedPageBreak/>
              <w:t>культуре Ленинградской области № 01</w:t>
            </w:r>
            <w:r>
              <w:rPr>
                <w:rFonts w:cs="Times New Roman"/>
              </w:rPr>
              <w:softHyphen/>
              <w:t>03/19-175 от 15.03.2019</w:t>
            </w:r>
          </w:p>
        </w:tc>
        <w:tc>
          <w:tcPr>
            <w:tcW w:w="1640" w:type="dxa"/>
          </w:tcPr>
          <w:p w:rsidR="00FA1F4E" w:rsidRDefault="003B2CFF">
            <w:pPr>
              <w:pStyle w:val="afff2"/>
              <w:ind w:firstLine="0"/>
              <w:jc w:val="center"/>
              <w:rPr>
                <w:rFonts w:cs="Times New Roman"/>
              </w:rPr>
            </w:pPr>
            <w:r>
              <w:rPr>
                <w:rFonts w:cs="Times New Roman"/>
              </w:rPr>
              <w:lastRenderedPageBreak/>
              <w:t xml:space="preserve">Не подлежит </w:t>
            </w:r>
            <w:r>
              <w:rPr>
                <w:rFonts w:cs="Times New Roman"/>
              </w:rPr>
              <w:lastRenderedPageBreak/>
              <w:t>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2.8</w:t>
            </w:r>
          </w:p>
        </w:tc>
        <w:tc>
          <w:tcPr>
            <w:tcW w:w="747" w:type="pct"/>
          </w:tcPr>
          <w:p w:rsidR="00FA1F4E" w:rsidRDefault="003B2CFF">
            <w:pPr>
              <w:pStyle w:val="afff2"/>
              <w:ind w:firstLine="0"/>
              <w:jc w:val="center"/>
              <w:rPr>
                <w:rFonts w:cs="Times New Roman"/>
              </w:rPr>
            </w:pPr>
            <w:r>
              <w:rPr>
                <w:rFonts w:cs="Times New Roman"/>
              </w:rPr>
              <w:t>Памятник-стела воинам 97-</w:t>
            </w:r>
            <w:r>
              <w:rPr>
                <w:rFonts w:cs="Times New Roman"/>
              </w:rPr>
              <w:softHyphen/>
              <w:t>го понтонно-мостового батальона на месте переправы через р. Свирь 21.06.44.</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близ гражданского кладбища (Ленинградская область, Лодейнопольский муниципальный район, Лодейнопольское городское поселение, г. Лодейное Поле, ул. Коммунаров, 2, литера Д, сооружение 2)</w:t>
            </w:r>
          </w:p>
        </w:tc>
        <w:tc>
          <w:tcPr>
            <w:tcW w:w="632" w:type="pct"/>
          </w:tcPr>
          <w:p w:rsidR="00FA1F4E" w:rsidRDefault="003B2CFF">
            <w:pPr>
              <w:pStyle w:val="afff2"/>
              <w:ind w:firstLine="0"/>
              <w:jc w:val="center"/>
              <w:rPr>
                <w:rFonts w:cs="Times New Roman"/>
              </w:rPr>
            </w:pPr>
            <w:r>
              <w:rPr>
                <w:rFonts w:cs="Times New Roman"/>
              </w:rPr>
              <w:t>471710867150005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03/19-182 от 15.03.2019</w:t>
            </w:r>
          </w:p>
        </w:tc>
        <w:tc>
          <w:tcPr>
            <w:tcW w:w="1640" w:type="dxa"/>
          </w:tcPr>
          <w:p w:rsidR="00FA1F4E" w:rsidRDefault="003B2CFF">
            <w:pPr>
              <w:pStyle w:val="afff2"/>
              <w:ind w:firstLine="0"/>
              <w:jc w:val="center"/>
              <w:rPr>
                <w:rFonts w:cs="Times New Roman"/>
              </w:rPr>
            </w:pPr>
            <w:r>
              <w:rPr>
                <w:rFonts w:cs="Times New Roman"/>
              </w:rPr>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2.9</w:t>
            </w:r>
          </w:p>
        </w:tc>
        <w:tc>
          <w:tcPr>
            <w:tcW w:w="747" w:type="pct"/>
          </w:tcPr>
          <w:p w:rsidR="00FA1F4E" w:rsidRDefault="003B2CFF">
            <w:pPr>
              <w:pStyle w:val="afff2"/>
              <w:ind w:firstLine="0"/>
              <w:jc w:val="center"/>
              <w:rPr>
                <w:rFonts w:cs="Times New Roman"/>
              </w:rPr>
            </w:pPr>
            <w:r>
              <w:rPr>
                <w:rFonts w:cs="Times New Roman"/>
              </w:rPr>
              <w:t>Надолбы (2 шт.) на рубеже обороны 1941 – 44 гг., на одном надолбе – памятная надпись</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 xml:space="preserve">Ленинградская область, Лодейнопольский район, г. Лодейное Поле. В парке «Свирская победа», к западу от рубежа обороны указанного в п.6 (Ленинградская область, Лодейнопольский муниципальный район, Лодейнопольское городское </w:t>
            </w:r>
            <w:r>
              <w:rPr>
                <w:rFonts w:cs="Times New Roman"/>
              </w:rPr>
              <w:lastRenderedPageBreak/>
              <w:t>поселение, г. Лодейное Поле, пр. Ленина, 122а, литера Б)</w:t>
            </w:r>
          </w:p>
        </w:tc>
        <w:tc>
          <w:tcPr>
            <w:tcW w:w="632" w:type="pct"/>
          </w:tcPr>
          <w:p w:rsidR="00FA1F4E" w:rsidRDefault="003B2CFF">
            <w:pPr>
              <w:pStyle w:val="afff2"/>
              <w:ind w:firstLine="0"/>
              <w:jc w:val="center"/>
              <w:rPr>
                <w:rFonts w:cs="Times New Roman"/>
              </w:rPr>
            </w:pPr>
            <w:r>
              <w:rPr>
                <w:rFonts w:cs="Times New Roman"/>
              </w:rPr>
              <w:lastRenderedPageBreak/>
              <w:t>471720918410005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03/19-184 от 15.03.2019</w:t>
            </w:r>
          </w:p>
        </w:tc>
        <w:tc>
          <w:tcPr>
            <w:tcW w:w="554" w:type="pct"/>
          </w:tcPr>
          <w:p w:rsidR="00FA1F4E" w:rsidRDefault="003B2CFF">
            <w:pPr>
              <w:pStyle w:val="afff2"/>
              <w:ind w:firstLine="0"/>
              <w:jc w:val="center"/>
              <w:rPr>
                <w:rFonts w:cs="Times New Roman"/>
              </w:rPr>
            </w:pPr>
            <w:r>
              <w:rPr>
                <w:rFonts w:cs="Times New Roman"/>
              </w:rPr>
              <w:t>100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2.10</w:t>
            </w:r>
          </w:p>
        </w:tc>
        <w:tc>
          <w:tcPr>
            <w:tcW w:w="747" w:type="pct"/>
          </w:tcPr>
          <w:p w:rsidR="00FA1F4E" w:rsidRDefault="003B2CFF">
            <w:pPr>
              <w:pStyle w:val="afff2"/>
              <w:ind w:firstLine="0"/>
              <w:jc w:val="center"/>
              <w:rPr>
                <w:rFonts w:eastAsia="Calibri" w:cs="Times New Roman"/>
              </w:rPr>
            </w:pPr>
            <w:r>
              <w:rPr>
                <w:rFonts w:eastAsia="Calibri" w:cs="Times New Roman"/>
              </w:rPr>
              <w:t>Противотанковые надолбы (4 шт.) на рубеже обороны 1941 - 44 гг., на двух надолбах – памятные надписи</w:t>
            </w:r>
          </w:p>
        </w:tc>
        <w:tc>
          <w:tcPr>
            <w:tcW w:w="993" w:type="pct"/>
          </w:tcPr>
          <w:p w:rsidR="00FA1F4E" w:rsidRDefault="003B2CFF">
            <w:pPr>
              <w:pStyle w:val="afff2"/>
              <w:ind w:firstLine="0"/>
              <w:jc w:val="center"/>
              <w:rPr>
                <w:rFonts w:eastAsia="Calibri" w:cs="Times New Roman"/>
              </w:rPr>
            </w:pPr>
            <w:r>
              <w:rPr>
                <w:rFonts w:eastAsia="Calibri" w:cs="Times New Roman"/>
              </w:rPr>
              <w:t>Решение Леноблисполкома № 189 от 16.05.1988 г.</w:t>
            </w:r>
          </w:p>
        </w:tc>
        <w:tc>
          <w:tcPr>
            <w:tcW w:w="1016" w:type="pct"/>
          </w:tcPr>
          <w:p w:rsidR="00FA1F4E" w:rsidRDefault="003B2CFF">
            <w:pPr>
              <w:pStyle w:val="afff2"/>
              <w:ind w:firstLine="0"/>
              <w:jc w:val="center"/>
              <w:rPr>
                <w:rFonts w:eastAsia="Calibri" w:cs="Times New Roman"/>
              </w:rPr>
            </w:pPr>
            <w:r>
              <w:rPr>
                <w:rFonts w:eastAsia="Calibri" w:cs="Times New Roman"/>
              </w:rPr>
              <w:t>Ленинградская область, Лодейнопольский район, г. Лодейное Поле. В северо-западной части городского парка «Свирская победа» (Ленинградская область, Лодейнопольский муниципальный район, Лодейнопольское городское поселение, г. Лодейное Поле, пр. Ленина, 122а, литера В)</w:t>
            </w:r>
          </w:p>
        </w:tc>
        <w:tc>
          <w:tcPr>
            <w:tcW w:w="632" w:type="pct"/>
          </w:tcPr>
          <w:p w:rsidR="00FA1F4E" w:rsidRDefault="003B2CFF">
            <w:pPr>
              <w:pStyle w:val="afff2"/>
              <w:ind w:firstLine="0"/>
              <w:jc w:val="center"/>
              <w:rPr>
                <w:rFonts w:eastAsia="Calibri" w:cs="Times New Roman"/>
              </w:rPr>
            </w:pPr>
            <w:r>
              <w:rPr>
                <w:rFonts w:cs="Times New Roman"/>
                <w:shd w:val="clear" w:color="auto" w:fill="FFFFFF"/>
              </w:rPr>
              <w:t>471730945270005</w:t>
            </w:r>
          </w:p>
        </w:tc>
        <w:tc>
          <w:tcPr>
            <w:tcW w:w="731" w:type="pct"/>
          </w:tcPr>
          <w:p w:rsidR="00FA1F4E" w:rsidRDefault="003B2CFF">
            <w:pPr>
              <w:pStyle w:val="afff2"/>
              <w:ind w:firstLine="0"/>
              <w:jc w:val="center"/>
              <w:rPr>
                <w:rFonts w:eastAsia="Calibri" w:cs="Times New Roman"/>
              </w:rPr>
            </w:pPr>
            <w:r>
              <w:rPr>
                <w:rFonts w:eastAsia="Calibri" w:cs="Times New Roman"/>
              </w:rPr>
              <w:t>Границы территории не установлены (требования ст. 34.1 Федерального закона от 25.06.2002 № 73-ФЗ не применяются)</w:t>
            </w:r>
          </w:p>
        </w:tc>
        <w:tc>
          <w:tcPr>
            <w:tcW w:w="554" w:type="pct"/>
          </w:tcPr>
          <w:p w:rsidR="00FA1F4E" w:rsidRDefault="003B2CFF">
            <w:pPr>
              <w:pStyle w:val="afff2"/>
              <w:ind w:firstLine="0"/>
              <w:jc w:val="center"/>
              <w:rPr>
                <w:rFonts w:cs="Times New Roman"/>
              </w:rPr>
            </w:pPr>
            <w:r>
              <w:rPr>
                <w:rFonts w:cs="Times New Roman"/>
              </w:rPr>
              <w:t>200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2.11</w:t>
            </w:r>
          </w:p>
        </w:tc>
        <w:tc>
          <w:tcPr>
            <w:tcW w:w="747" w:type="pct"/>
          </w:tcPr>
          <w:p w:rsidR="00FA1F4E" w:rsidRDefault="003B2CFF">
            <w:pPr>
              <w:pStyle w:val="afff2"/>
              <w:ind w:firstLine="0"/>
              <w:jc w:val="center"/>
              <w:rPr>
                <w:rFonts w:cs="Times New Roman"/>
              </w:rPr>
            </w:pPr>
            <w:r>
              <w:rPr>
                <w:rFonts w:cs="Times New Roman"/>
              </w:rPr>
              <w:t>Памятный знак-стела воинам 1-го саперного батальона, на месте переправы при форсировании р. Свирь 21.06.44 г.</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в парке «Свирская победа», близ рубежа обороны 1941–1944 гг.</w:t>
            </w:r>
          </w:p>
        </w:tc>
        <w:tc>
          <w:tcPr>
            <w:tcW w:w="632" w:type="pct"/>
          </w:tcPr>
          <w:p w:rsidR="00FA1F4E" w:rsidRDefault="003B2CFF">
            <w:pPr>
              <w:pStyle w:val="afff2"/>
              <w:ind w:firstLine="0"/>
              <w:jc w:val="center"/>
              <w:rPr>
                <w:rFonts w:cs="Times New Roman"/>
              </w:rPr>
            </w:pPr>
            <w:r>
              <w:rPr>
                <w:rFonts w:cs="Times New Roman"/>
              </w:rPr>
              <w:t>471410063490005</w:t>
            </w:r>
          </w:p>
        </w:tc>
        <w:tc>
          <w:tcPr>
            <w:tcW w:w="731" w:type="pct"/>
          </w:tcPr>
          <w:p w:rsidR="00FA1F4E" w:rsidRDefault="003B2CFF">
            <w:pPr>
              <w:pStyle w:val="afff2"/>
              <w:ind w:firstLine="0"/>
              <w:jc w:val="center"/>
              <w:rPr>
                <w:rFonts w:cs="Times New Roman"/>
              </w:rPr>
            </w:pPr>
            <w:r>
              <w:rPr>
                <w:rFonts w:cs="Times New Roman"/>
              </w:rPr>
              <w:t xml:space="preserve">Приказ комитета по культуре Ленинградской области № 01-03/19-187 от 15.03.2019 </w:t>
            </w:r>
          </w:p>
        </w:tc>
        <w:tc>
          <w:tcPr>
            <w:tcW w:w="1640" w:type="dxa"/>
          </w:tcPr>
          <w:p w:rsidR="00FA1F4E" w:rsidRDefault="003B2CFF">
            <w:pPr>
              <w:pStyle w:val="afff2"/>
              <w:ind w:firstLine="0"/>
              <w:jc w:val="center"/>
              <w:rPr>
                <w:rFonts w:cs="Times New Roman"/>
              </w:rPr>
            </w:pPr>
            <w:r>
              <w:rPr>
                <w:rFonts w:cs="Times New Roman"/>
              </w:rPr>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2.12</w:t>
            </w:r>
          </w:p>
        </w:tc>
        <w:tc>
          <w:tcPr>
            <w:tcW w:w="747" w:type="pct"/>
          </w:tcPr>
          <w:p w:rsidR="00FA1F4E" w:rsidRDefault="003B2CFF">
            <w:pPr>
              <w:pStyle w:val="afff2"/>
              <w:ind w:firstLine="0"/>
              <w:jc w:val="center"/>
              <w:rPr>
                <w:rFonts w:cs="Times New Roman"/>
              </w:rPr>
            </w:pPr>
            <w:r>
              <w:rPr>
                <w:rFonts w:cs="Times New Roman"/>
              </w:rPr>
              <w:t>Памятник-стела воинам 16</w:t>
            </w:r>
            <w:r>
              <w:rPr>
                <w:rFonts w:cs="Times New Roman"/>
              </w:rPr>
              <w:softHyphen/>
              <w:t xml:space="preserve">-го инженерно-саперного </w:t>
            </w:r>
            <w:r>
              <w:rPr>
                <w:rFonts w:cs="Times New Roman"/>
              </w:rPr>
              <w:lastRenderedPageBreak/>
              <w:t>батальона, наводившим переправы через р. Свирь в июне 1944 г.</w:t>
            </w:r>
          </w:p>
        </w:tc>
        <w:tc>
          <w:tcPr>
            <w:tcW w:w="993" w:type="pct"/>
          </w:tcPr>
          <w:p w:rsidR="00FA1F4E" w:rsidRDefault="003B2CFF">
            <w:pPr>
              <w:pStyle w:val="afff2"/>
              <w:ind w:firstLine="0"/>
              <w:jc w:val="center"/>
              <w:rPr>
                <w:rFonts w:cs="Times New Roman"/>
              </w:rPr>
            </w:pPr>
            <w:r>
              <w:rPr>
                <w:rFonts w:cs="Times New Roman"/>
              </w:rPr>
              <w:lastRenderedPageBreak/>
              <w:t xml:space="preserve">Решение Исполнительного комитета Ленинградского областного Совета народных депутатов № 189 </w:t>
            </w:r>
            <w:r>
              <w:rPr>
                <w:rFonts w:cs="Times New Roman"/>
              </w:rPr>
              <w:lastRenderedPageBreak/>
              <w:t>от 16.05.1988 г.</w:t>
            </w:r>
          </w:p>
        </w:tc>
        <w:tc>
          <w:tcPr>
            <w:tcW w:w="1016" w:type="pct"/>
          </w:tcPr>
          <w:p w:rsidR="00FA1F4E" w:rsidRDefault="003B2CFF">
            <w:pPr>
              <w:pStyle w:val="afff2"/>
              <w:ind w:firstLine="0"/>
              <w:jc w:val="center"/>
              <w:rPr>
                <w:rFonts w:cs="Times New Roman"/>
              </w:rPr>
            </w:pPr>
            <w:r>
              <w:rPr>
                <w:rFonts w:cs="Times New Roman"/>
              </w:rPr>
              <w:lastRenderedPageBreak/>
              <w:t xml:space="preserve">Ленинградская область, Лодейнопольский район, г. Лодейное Поле. В западной части города, близ шоссе на </w:t>
            </w:r>
            <w:r>
              <w:rPr>
                <w:rFonts w:cs="Times New Roman"/>
              </w:rPr>
              <w:lastRenderedPageBreak/>
              <w:t>Ленинград, у завода стройматериалов (Ленинградская область, Лодейнопольский муниципальный район, Лодейнопольское городское поселение, г. Лодейное Поле, Ленинградское шоссе, 46д, литера А)</w:t>
            </w:r>
          </w:p>
        </w:tc>
        <w:tc>
          <w:tcPr>
            <w:tcW w:w="632" w:type="pct"/>
          </w:tcPr>
          <w:p w:rsidR="00FA1F4E" w:rsidRDefault="003B2CFF">
            <w:pPr>
              <w:pStyle w:val="afff2"/>
              <w:ind w:firstLine="0"/>
              <w:jc w:val="center"/>
              <w:rPr>
                <w:rFonts w:cs="Times New Roman"/>
              </w:rPr>
            </w:pPr>
            <w:r>
              <w:rPr>
                <w:rFonts w:cs="Times New Roman"/>
              </w:rPr>
              <w:lastRenderedPageBreak/>
              <w:t>471710918390005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03/19-</w:t>
            </w:r>
            <w:r>
              <w:rPr>
                <w:rFonts w:cs="Times New Roman"/>
              </w:rPr>
              <w:lastRenderedPageBreak/>
              <w:t xml:space="preserve">181 от 15.03.2019 </w:t>
            </w:r>
          </w:p>
        </w:tc>
        <w:tc>
          <w:tcPr>
            <w:tcW w:w="1640" w:type="dxa"/>
          </w:tcPr>
          <w:p w:rsidR="00FA1F4E" w:rsidRDefault="003B2CFF">
            <w:pPr>
              <w:pStyle w:val="afff2"/>
              <w:ind w:firstLine="0"/>
              <w:jc w:val="center"/>
              <w:rPr>
                <w:rFonts w:cs="Times New Roman"/>
              </w:rPr>
            </w:pPr>
            <w:r>
              <w:rPr>
                <w:rFonts w:cs="Times New Roman"/>
              </w:rPr>
              <w:lastRenderedPageBreak/>
              <w:t>Не подлежит установлению</w:t>
            </w:r>
            <w:r>
              <w:rPr>
                <w:rFonts w:cs="Times New Roman"/>
                <w:vertAlign w:val="superscript"/>
              </w:rPr>
              <w:t>9</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2.13</w:t>
            </w:r>
          </w:p>
        </w:tc>
        <w:tc>
          <w:tcPr>
            <w:tcW w:w="747" w:type="pct"/>
          </w:tcPr>
          <w:p w:rsidR="00FA1F4E" w:rsidRDefault="003B2CFF">
            <w:pPr>
              <w:pStyle w:val="afff2"/>
              <w:ind w:firstLine="0"/>
              <w:jc w:val="center"/>
              <w:rPr>
                <w:rFonts w:cs="Times New Roman"/>
              </w:rPr>
            </w:pPr>
            <w:r>
              <w:rPr>
                <w:rFonts w:cs="Times New Roman"/>
              </w:rPr>
              <w:t>Памятник-дот на рубеже обороны 1941-44 гг.</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народных депутатов № 189 от 16.05.1988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В западной части города, близ шоссе на Ленинград, у Дома-интерната ветеранов труда (Ленинградская область, Лодейнопольский муниципальный район, Лодейнопольское городское поселение, г. Лодейное Поле, Ленинградское шоссе, 71, литера Б)</w:t>
            </w:r>
          </w:p>
        </w:tc>
        <w:tc>
          <w:tcPr>
            <w:tcW w:w="632" w:type="pct"/>
          </w:tcPr>
          <w:p w:rsidR="00FA1F4E" w:rsidRDefault="003B2CFF">
            <w:pPr>
              <w:pStyle w:val="afff2"/>
              <w:ind w:firstLine="0"/>
              <w:jc w:val="center"/>
              <w:rPr>
                <w:rFonts w:cs="Times New Roman"/>
              </w:rPr>
            </w:pPr>
            <w:r>
              <w:rPr>
                <w:rFonts w:cs="Times New Roman"/>
              </w:rPr>
              <w:t>471710867160005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 xml:space="preserve">03/19-183 от 15.03.2019 </w:t>
            </w:r>
          </w:p>
        </w:tc>
        <w:tc>
          <w:tcPr>
            <w:tcW w:w="554" w:type="pct"/>
          </w:tcPr>
          <w:p w:rsidR="00FA1F4E" w:rsidRDefault="003B2CFF">
            <w:pPr>
              <w:pStyle w:val="afff2"/>
              <w:ind w:firstLine="0"/>
              <w:jc w:val="center"/>
              <w:rPr>
                <w:rFonts w:cs="Times New Roman"/>
              </w:rPr>
            </w:pPr>
            <w:r>
              <w:rPr>
                <w:rFonts w:cs="Times New Roman"/>
              </w:rPr>
              <w:t>100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t>2.14</w:t>
            </w:r>
          </w:p>
        </w:tc>
        <w:tc>
          <w:tcPr>
            <w:tcW w:w="747" w:type="pct"/>
          </w:tcPr>
          <w:p w:rsidR="00FA1F4E" w:rsidRDefault="003B2CFF">
            <w:pPr>
              <w:pStyle w:val="afff2"/>
              <w:ind w:firstLine="0"/>
              <w:jc w:val="center"/>
              <w:rPr>
                <w:rFonts w:cs="Times New Roman"/>
              </w:rPr>
            </w:pPr>
            <w:r>
              <w:rPr>
                <w:rFonts w:cs="Times New Roman"/>
              </w:rPr>
              <w:t xml:space="preserve">Место, где захоронен комиссар 2-го участка Мурманской ж.д., </w:t>
            </w:r>
            <w:r>
              <w:rPr>
                <w:rFonts w:cs="Times New Roman"/>
              </w:rPr>
              <w:lastRenderedPageBreak/>
              <w:t>активный участник гражданской войны – Ярославцев М.Б., погибший в 1919 г.</w:t>
            </w:r>
          </w:p>
        </w:tc>
        <w:tc>
          <w:tcPr>
            <w:tcW w:w="993" w:type="pct"/>
          </w:tcPr>
          <w:p w:rsidR="00FA1F4E" w:rsidRDefault="003B2CFF">
            <w:pPr>
              <w:pStyle w:val="afff2"/>
              <w:ind w:firstLine="0"/>
              <w:jc w:val="center"/>
              <w:rPr>
                <w:rFonts w:cs="Times New Roman"/>
              </w:rPr>
            </w:pPr>
            <w:r>
              <w:rPr>
                <w:rFonts w:cs="Times New Roman"/>
              </w:rPr>
              <w:lastRenderedPageBreak/>
              <w:t xml:space="preserve">Решение Исполнительного комитета Ленинградского областного Совета народных депутатов № 189 </w:t>
            </w:r>
            <w:r>
              <w:rPr>
                <w:rFonts w:cs="Times New Roman"/>
              </w:rPr>
              <w:lastRenderedPageBreak/>
              <w:t>от 16.05.1988 г.</w:t>
            </w:r>
          </w:p>
        </w:tc>
        <w:tc>
          <w:tcPr>
            <w:tcW w:w="1016" w:type="pct"/>
          </w:tcPr>
          <w:p w:rsidR="00FA1F4E" w:rsidRDefault="003B2CFF">
            <w:pPr>
              <w:pStyle w:val="afff2"/>
              <w:ind w:firstLine="0"/>
              <w:jc w:val="center"/>
              <w:rPr>
                <w:rFonts w:cs="Times New Roman"/>
              </w:rPr>
            </w:pPr>
            <w:r>
              <w:rPr>
                <w:rFonts w:cs="Times New Roman"/>
              </w:rPr>
              <w:lastRenderedPageBreak/>
              <w:t xml:space="preserve">Ленинградская область, Лодейнопольский район, г. Лодейное Поле Близ ж.д. станции Лодейное Поле </w:t>
            </w:r>
            <w:r>
              <w:rPr>
                <w:rFonts w:cs="Times New Roman"/>
              </w:rPr>
              <w:lastRenderedPageBreak/>
              <w:t>(Ленинградская область, Лодейнопольский муниципальный район, Лодейнопольское городское поселение, г. Лодейное Поле, ул. Ивана Ярославцева, 1, литера А)</w:t>
            </w:r>
          </w:p>
        </w:tc>
        <w:tc>
          <w:tcPr>
            <w:tcW w:w="632" w:type="pct"/>
          </w:tcPr>
          <w:p w:rsidR="00FA1F4E" w:rsidRDefault="003B2CFF">
            <w:pPr>
              <w:pStyle w:val="afff2"/>
              <w:ind w:firstLine="0"/>
              <w:jc w:val="center"/>
              <w:rPr>
                <w:rFonts w:cs="Times New Roman"/>
              </w:rPr>
            </w:pPr>
            <w:r>
              <w:rPr>
                <w:rFonts w:cs="Times New Roman"/>
              </w:rPr>
              <w:lastRenderedPageBreak/>
              <w:t>471711247590005</w:t>
            </w:r>
          </w:p>
        </w:tc>
        <w:tc>
          <w:tcPr>
            <w:tcW w:w="731" w:type="pct"/>
          </w:tcPr>
          <w:p w:rsidR="00FA1F4E" w:rsidRDefault="003B2CFF">
            <w:pPr>
              <w:pStyle w:val="afff2"/>
              <w:ind w:firstLine="0"/>
              <w:jc w:val="center"/>
              <w:rPr>
                <w:rFonts w:cs="Times New Roman"/>
              </w:rPr>
            </w:pPr>
            <w:r>
              <w:rPr>
                <w:rFonts w:cs="Times New Roman"/>
              </w:rPr>
              <w:t>Приказ комитета по культуре Ленинградской области № 01</w:t>
            </w:r>
            <w:r>
              <w:rPr>
                <w:rFonts w:cs="Times New Roman"/>
              </w:rPr>
              <w:softHyphen/>
              <w:t>03/19-</w:t>
            </w:r>
            <w:r>
              <w:rPr>
                <w:rFonts w:cs="Times New Roman"/>
              </w:rPr>
              <w:lastRenderedPageBreak/>
              <w:t xml:space="preserve">177 от 15.03.2019 </w:t>
            </w:r>
          </w:p>
        </w:tc>
        <w:tc>
          <w:tcPr>
            <w:tcW w:w="554" w:type="pct"/>
          </w:tcPr>
          <w:p w:rsidR="00FA1F4E" w:rsidRDefault="003B2CFF">
            <w:pPr>
              <w:pStyle w:val="afff2"/>
              <w:ind w:firstLine="0"/>
              <w:jc w:val="center"/>
              <w:rPr>
                <w:rFonts w:cs="Times New Roman"/>
              </w:rPr>
            </w:pPr>
            <w:r>
              <w:rPr>
                <w:rFonts w:cs="Times New Roman"/>
              </w:rPr>
              <w:lastRenderedPageBreak/>
              <w:t>100 м</w:t>
            </w:r>
          </w:p>
        </w:tc>
      </w:tr>
      <w:tr w:rsidR="00FA1F4E">
        <w:trPr>
          <w:trHeight w:val="20"/>
        </w:trPr>
        <w:tc>
          <w:tcPr>
            <w:tcW w:w="325" w:type="pct"/>
          </w:tcPr>
          <w:p w:rsidR="00FA1F4E" w:rsidRDefault="003B2CFF">
            <w:pPr>
              <w:pStyle w:val="afff2"/>
              <w:ind w:firstLine="0"/>
              <w:jc w:val="center"/>
              <w:rPr>
                <w:rFonts w:eastAsia="Calibri" w:cs="Times New Roman"/>
              </w:rPr>
            </w:pPr>
            <w:r>
              <w:rPr>
                <w:rFonts w:eastAsia="Calibri" w:cs="Times New Roman"/>
              </w:rPr>
              <w:lastRenderedPageBreak/>
              <w:t>2.15</w:t>
            </w:r>
          </w:p>
        </w:tc>
        <w:tc>
          <w:tcPr>
            <w:tcW w:w="747" w:type="pct"/>
          </w:tcPr>
          <w:p w:rsidR="00FA1F4E" w:rsidRDefault="003B2CFF">
            <w:pPr>
              <w:pStyle w:val="afff2"/>
              <w:ind w:firstLine="0"/>
              <w:jc w:val="center"/>
              <w:rPr>
                <w:rFonts w:cs="Times New Roman"/>
              </w:rPr>
            </w:pPr>
            <w:r>
              <w:rPr>
                <w:rFonts w:cs="Times New Roman"/>
              </w:rPr>
              <w:t>Братская могила 4-х Героев Советского Союза: капитана В.И. Шмакова, лейтенанта С.Ф. Киреева, сержанта Т.И., Паршуткина, ст. матроса А.И. Мошкина</w:t>
            </w:r>
          </w:p>
        </w:tc>
        <w:tc>
          <w:tcPr>
            <w:tcW w:w="993" w:type="pct"/>
          </w:tcPr>
          <w:p w:rsidR="00FA1F4E" w:rsidRDefault="003B2CFF">
            <w:pPr>
              <w:pStyle w:val="afff2"/>
              <w:ind w:firstLine="0"/>
              <w:jc w:val="center"/>
              <w:rPr>
                <w:rFonts w:cs="Times New Roman"/>
              </w:rPr>
            </w:pPr>
            <w:r>
              <w:rPr>
                <w:rFonts w:cs="Times New Roman"/>
              </w:rPr>
              <w:t>Решение Исполнительного комитета Ленинградского областного Совета депутатов трудящихся № 20</w:t>
            </w:r>
            <w:r>
              <w:rPr>
                <w:rFonts w:cs="Times New Roman"/>
              </w:rPr>
              <w:softHyphen/>
              <w:t>5 от 04.09.1959 г.</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гвардейское кладбище (памятник из гранита) (Ленинградская область, Лодейнопольский муниципальный район, Лодейнопольское городское поселение, г. Лодейное Поле, ул. Коммунаров, 2, литера Д, сооружение 1)</w:t>
            </w:r>
          </w:p>
        </w:tc>
        <w:tc>
          <w:tcPr>
            <w:tcW w:w="632" w:type="pct"/>
          </w:tcPr>
          <w:p w:rsidR="00FA1F4E" w:rsidRDefault="003B2CFF">
            <w:pPr>
              <w:pStyle w:val="afff2"/>
              <w:ind w:firstLine="0"/>
              <w:jc w:val="center"/>
              <w:rPr>
                <w:rFonts w:cs="Times New Roman"/>
              </w:rPr>
            </w:pPr>
            <w:r>
              <w:rPr>
                <w:rFonts w:cs="Times New Roman"/>
              </w:rPr>
              <w:t>471710867170005</w:t>
            </w:r>
          </w:p>
        </w:tc>
        <w:tc>
          <w:tcPr>
            <w:tcW w:w="731" w:type="pct"/>
          </w:tcPr>
          <w:p w:rsidR="00FA1F4E" w:rsidRDefault="003B2CFF">
            <w:pPr>
              <w:pStyle w:val="afff2"/>
              <w:ind w:firstLine="0"/>
              <w:jc w:val="center"/>
              <w:rPr>
                <w:rFonts w:cs="Times New Roman"/>
              </w:rPr>
            </w:pPr>
            <w:r>
              <w:rPr>
                <w:rFonts w:cs="Times New Roman"/>
              </w:rPr>
              <w:t>Не установлены</w:t>
            </w:r>
          </w:p>
        </w:tc>
        <w:tc>
          <w:tcPr>
            <w:tcW w:w="554" w:type="pct"/>
          </w:tcPr>
          <w:p w:rsidR="00FA1F4E" w:rsidRDefault="003B2CFF">
            <w:pPr>
              <w:pStyle w:val="afff2"/>
              <w:ind w:firstLine="0"/>
              <w:jc w:val="center"/>
              <w:rPr>
                <w:rFonts w:cs="Times New Roman"/>
              </w:rPr>
            </w:pPr>
            <w:r>
              <w:rPr>
                <w:rFonts w:cs="Times New Roman"/>
              </w:rPr>
              <w:t>200 м</w:t>
            </w:r>
          </w:p>
        </w:tc>
      </w:tr>
      <w:tr w:rsidR="00FA1F4E">
        <w:trPr>
          <w:trHeight w:val="20"/>
        </w:trPr>
        <w:tc>
          <w:tcPr>
            <w:tcW w:w="5000" w:type="pct"/>
            <w:gridSpan w:val="7"/>
          </w:tcPr>
          <w:p w:rsidR="00FA1F4E" w:rsidRDefault="003B2CFF">
            <w:pPr>
              <w:pStyle w:val="afff2"/>
              <w:numPr>
                <w:ilvl w:val="0"/>
                <w:numId w:val="76"/>
              </w:numPr>
              <w:ind w:firstLine="0"/>
              <w:jc w:val="center"/>
              <w:rPr>
                <w:rFonts w:cs="Times New Roman"/>
              </w:rPr>
            </w:pPr>
            <w:r>
              <w:rPr>
                <w:rFonts w:cs="Times New Roman"/>
              </w:rPr>
              <w:t>Выявленные объекты культурного наследия</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w:t>
            </w:r>
          </w:p>
        </w:tc>
        <w:tc>
          <w:tcPr>
            <w:tcW w:w="747" w:type="pct"/>
          </w:tcPr>
          <w:p w:rsidR="00FA1F4E" w:rsidRDefault="003B2CFF">
            <w:pPr>
              <w:pStyle w:val="afff2"/>
              <w:ind w:firstLine="0"/>
              <w:jc w:val="center"/>
              <w:rPr>
                <w:rFonts w:cs="Times New Roman"/>
              </w:rPr>
            </w:pPr>
            <w:r>
              <w:rPr>
                <w:rFonts w:cs="Times New Roman"/>
              </w:rPr>
              <w:t>Сооружение водозабора (наб. р. Свирь, у пристани)</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наб. р. Свирь, у пристани</w:t>
            </w:r>
          </w:p>
        </w:tc>
        <w:tc>
          <w:tcPr>
            <w:tcW w:w="632" w:type="pct"/>
          </w:tcPr>
          <w:p w:rsidR="00FA1F4E" w:rsidRDefault="003B2CFF">
            <w:pPr>
              <w:ind w:firstLine="0"/>
              <w:jc w:val="center"/>
              <w:rPr>
                <w:rFonts w:cs="Times New Roman"/>
                <w:sz w:val="22"/>
              </w:rPr>
            </w:pPr>
            <w:r>
              <w:rPr>
                <w:rFonts w:cs="Times New Roman"/>
                <w:sz w:val="22"/>
              </w:rPr>
              <w:t>47–170166</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554" w:type="pct"/>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3.2</w:t>
            </w:r>
          </w:p>
        </w:tc>
        <w:tc>
          <w:tcPr>
            <w:tcW w:w="747" w:type="pct"/>
          </w:tcPr>
          <w:p w:rsidR="00FA1F4E" w:rsidRDefault="003B2CFF">
            <w:pPr>
              <w:pStyle w:val="afff2"/>
              <w:ind w:firstLine="0"/>
              <w:jc w:val="center"/>
              <w:rPr>
                <w:rFonts w:cs="Times New Roman"/>
              </w:rPr>
            </w:pPr>
            <w:r>
              <w:rPr>
                <w:rFonts w:cs="Times New Roman"/>
              </w:rPr>
              <w:t>Пожарная часть</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 xml:space="preserve">Ленинградская область, Лодейнопольский район, г. Лодейное Поле, ул. Ленина, </w:t>
            </w:r>
            <w:r>
              <w:rPr>
                <w:rFonts w:cs="Times New Roman"/>
              </w:rPr>
              <w:lastRenderedPageBreak/>
              <w:t>25</w:t>
            </w:r>
          </w:p>
        </w:tc>
        <w:tc>
          <w:tcPr>
            <w:tcW w:w="632" w:type="pct"/>
          </w:tcPr>
          <w:p w:rsidR="00FA1F4E" w:rsidRDefault="003B2CFF">
            <w:pPr>
              <w:ind w:firstLine="0"/>
              <w:jc w:val="center"/>
              <w:rPr>
                <w:rFonts w:cs="Times New Roman"/>
                <w:sz w:val="22"/>
              </w:rPr>
            </w:pPr>
            <w:r>
              <w:rPr>
                <w:rFonts w:cs="Times New Roman"/>
                <w:sz w:val="22"/>
              </w:rPr>
              <w:lastRenderedPageBreak/>
              <w:t>47–170167</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lastRenderedPageBreak/>
              <w:t>3.3</w:t>
            </w:r>
          </w:p>
        </w:tc>
        <w:tc>
          <w:tcPr>
            <w:tcW w:w="747" w:type="pct"/>
          </w:tcPr>
          <w:p w:rsidR="00FA1F4E" w:rsidRDefault="003B2CFF">
            <w:pPr>
              <w:pStyle w:val="afff2"/>
              <w:ind w:firstLine="0"/>
              <w:jc w:val="center"/>
              <w:rPr>
                <w:rFonts w:cs="Times New Roman"/>
              </w:rPr>
            </w:pPr>
            <w:r>
              <w:rPr>
                <w:rFonts w:cs="Times New Roman"/>
              </w:rPr>
              <w:t>Комплекс почты</w:t>
            </w:r>
          </w:p>
        </w:tc>
        <w:tc>
          <w:tcPr>
            <w:tcW w:w="993" w:type="pct"/>
            <w:vMerge w:val="restar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vMerge w:val="restar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Ленина, 27, ул. Урицкого, 3</w:t>
            </w:r>
          </w:p>
        </w:tc>
        <w:tc>
          <w:tcPr>
            <w:tcW w:w="632" w:type="pct"/>
          </w:tcPr>
          <w:p w:rsidR="00FA1F4E" w:rsidRDefault="003B2CFF">
            <w:pPr>
              <w:ind w:firstLine="0"/>
              <w:jc w:val="center"/>
              <w:rPr>
                <w:rFonts w:cs="Times New Roman"/>
                <w:sz w:val="22"/>
              </w:rPr>
            </w:pPr>
            <w:r>
              <w:rPr>
                <w:rFonts w:cs="Times New Roman"/>
                <w:sz w:val="22"/>
              </w:rPr>
              <w:t>47–170168</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3.3.1</w:t>
            </w:r>
          </w:p>
        </w:tc>
        <w:tc>
          <w:tcPr>
            <w:tcW w:w="747" w:type="pct"/>
          </w:tcPr>
          <w:p w:rsidR="00FA1F4E" w:rsidRDefault="003B2CFF">
            <w:pPr>
              <w:pStyle w:val="afff2"/>
              <w:ind w:firstLine="0"/>
              <w:jc w:val="center"/>
              <w:rPr>
                <w:rFonts w:cs="Times New Roman"/>
              </w:rPr>
            </w:pPr>
            <w:r>
              <w:rPr>
                <w:rFonts w:cs="Times New Roman"/>
              </w:rPr>
              <w:t>– главное здание</w:t>
            </w:r>
          </w:p>
        </w:tc>
        <w:tc>
          <w:tcPr>
            <w:tcW w:w="993" w:type="pct"/>
            <w:vMerge/>
          </w:tcPr>
          <w:p w:rsidR="00FA1F4E" w:rsidRDefault="00FA1F4E">
            <w:pPr>
              <w:pStyle w:val="afff2"/>
              <w:ind w:firstLine="0"/>
              <w:jc w:val="center"/>
              <w:rPr>
                <w:rFonts w:cs="Times New Roman"/>
              </w:rPr>
            </w:pPr>
          </w:p>
        </w:tc>
        <w:tc>
          <w:tcPr>
            <w:tcW w:w="1016" w:type="pct"/>
            <w:vMerge/>
          </w:tcPr>
          <w:p w:rsidR="00FA1F4E" w:rsidRDefault="00FA1F4E">
            <w:pPr>
              <w:pStyle w:val="afff2"/>
              <w:ind w:firstLine="0"/>
              <w:jc w:val="center"/>
              <w:rPr>
                <w:rFonts w:cs="Times New Roman"/>
              </w:rPr>
            </w:pPr>
          </w:p>
        </w:tc>
        <w:tc>
          <w:tcPr>
            <w:tcW w:w="632" w:type="pct"/>
          </w:tcPr>
          <w:p w:rsidR="00FA1F4E" w:rsidRDefault="003B2CFF">
            <w:pPr>
              <w:ind w:firstLine="0"/>
              <w:jc w:val="center"/>
              <w:rPr>
                <w:rFonts w:cs="Times New Roman"/>
                <w:sz w:val="22"/>
              </w:rPr>
            </w:pPr>
            <w:r>
              <w:rPr>
                <w:rFonts w:cs="Times New Roman"/>
                <w:sz w:val="22"/>
              </w:rPr>
              <w:t>47–170169</w:t>
            </w:r>
          </w:p>
        </w:tc>
        <w:tc>
          <w:tcPr>
            <w:tcW w:w="731" w:type="pct"/>
          </w:tcPr>
          <w:p w:rsidR="00FA1F4E" w:rsidRDefault="00FA1F4E">
            <w:pPr>
              <w:pStyle w:val="afff2"/>
              <w:ind w:firstLine="0"/>
              <w:jc w:val="center"/>
              <w:rPr>
                <w:rFonts w:cs="Times New Roman"/>
              </w:rPr>
            </w:pP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3.3.2</w:t>
            </w:r>
          </w:p>
        </w:tc>
        <w:tc>
          <w:tcPr>
            <w:tcW w:w="747" w:type="pct"/>
          </w:tcPr>
          <w:p w:rsidR="00FA1F4E" w:rsidRDefault="003B2CFF">
            <w:pPr>
              <w:pStyle w:val="afff2"/>
              <w:ind w:firstLine="0"/>
              <w:jc w:val="center"/>
              <w:rPr>
                <w:rFonts w:cs="Times New Roman"/>
              </w:rPr>
            </w:pPr>
            <w:r>
              <w:rPr>
                <w:rFonts w:cs="Times New Roman"/>
              </w:rPr>
              <w:t>– корпус вспомогательный</w:t>
            </w:r>
          </w:p>
        </w:tc>
        <w:tc>
          <w:tcPr>
            <w:tcW w:w="993" w:type="pct"/>
            <w:vMerge/>
          </w:tcPr>
          <w:p w:rsidR="00FA1F4E" w:rsidRDefault="00FA1F4E">
            <w:pPr>
              <w:pStyle w:val="afff2"/>
              <w:ind w:firstLine="0"/>
              <w:jc w:val="center"/>
              <w:rPr>
                <w:rFonts w:cs="Times New Roman"/>
              </w:rPr>
            </w:pPr>
          </w:p>
        </w:tc>
        <w:tc>
          <w:tcPr>
            <w:tcW w:w="1016" w:type="pct"/>
            <w:vMerge/>
          </w:tcPr>
          <w:p w:rsidR="00FA1F4E" w:rsidRDefault="00FA1F4E">
            <w:pPr>
              <w:pStyle w:val="afff2"/>
              <w:ind w:firstLine="0"/>
              <w:jc w:val="center"/>
              <w:rPr>
                <w:rFonts w:cs="Times New Roman"/>
              </w:rPr>
            </w:pPr>
          </w:p>
        </w:tc>
        <w:tc>
          <w:tcPr>
            <w:tcW w:w="632" w:type="pct"/>
          </w:tcPr>
          <w:p w:rsidR="00FA1F4E" w:rsidRDefault="003B2CFF">
            <w:pPr>
              <w:ind w:firstLine="0"/>
              <w:jc w:val="center"/>
              <w:rPr>
                <w:rFonts w:cs="Times New Roman"/>
                <w:sz w:val="22"/>
              </w:rPr>
            </w:pPr>
            <w:r>
              <w:rPr>
                <w:rFonts w:cs="Times New Roman"/>
                <w:sz w:val="22"/>
              </w:rPr>
              <w:t>47–170170</w:t>
            </w:r>
          </w:p>
        </w:tc>
        <w:tc>
          <w:tcPr>
            <w:tcW w:w="731" w:type="pct"/>
          </w:tcPr>
          <w:p w:rsidR="00FA1F4E" w:rsidRDefault="00FA1F4E">
            <w:pPr>
              <w:pStyle w:val="afff2"/>
              <w:ind w:firstLine="0"/>
              <w:jc w:val="center"/>
              <w:rPr>
                <w:rFonts w:cs="Times New Roman"/>
              </w:rPr>
            </w:pP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3.3.3</w:t>
            </w:r>
          </w:p>
        </w:tc>
        <w:tc>
          <w:tcPr>
            <w:tcW w:w="747" w:type="pct"/>
          </w:tcPr>
          <w:p w:rsidR="00FA1F4E" w:rsidRDefault="003B2CFF">
            <w:pPr>
              <w:pStyle w:val="afff2"/>
              <w:ind w:firstLine="0"/>
              <w:jc w:val="center"/>
              <w:rPr>
                <w:rFonts w:cs="Times New Roman"/>
              </w:rPr>
            </w:pPr>
            <w:r>
              <w:rPr>
                <w:rFonts w:cs="Times New Roman"/>
              </w:rPr>
              <w:t>– хоз. постройка</w:t>
            </w:r>
          </w:p>
        </w:tc>
        <w:tc>
          <w:tcPr>
            <w:tcW w:w="993" w:type="pct"/>
            <w:vMerge/>
          </w:tcPr>
          <w:p w:rsidR="00FA1F4E" w:rsidRDefault="00FA1F4E">
            <w:pPr>
              <w:pStyle w:val="afff2"/>
              <w:ind w:firstLine="0"/>
              <w:jc w:val="center"/>
              <w:rPr>
                <w:rFonts w:cs="Times New Roman"/>
              </w:rPr>
            </w:pPr>
          </w:p>
        </w:tc>
        <w:tc>
          <w:tcPr>
            <w:tcW w:w="1016" w:type="pct"/>
            <w:vMerge/>
          </w:tcPr>
          <w:p w:rsidR="00FA1F4E" w:rsidRDefault="00FA1F4E">
            <w:pPr>
              <w:pStyle w:val="afff2"/>
              <w:ind w:firstLine="0"/>
              <w:jc w:val="center"/>
              <w:rPr>
                <w:rFonts w:cs="Times New Roman"/>
              </w:rPr>
            </w:pPr>
          </w:p>
        </w:tc>
        <w:tc>
          <w:tcPr>
            <w:tcW w:w="632" w:type="pct"/>
          </w:tcPr>
          <w:p w:rsidR="00FA1F4E" w:rsidRDefault="003B2CFF">
            <w:pPr>
              <w:ind w:firstLine="0"/>
              <w:jc w:val="center"/>
              <w:rPr>
                <w:rFonts w:cs="Times New Roman"/>
                <w:sz w:val="22"/>
              </w:rPr>
            </w:pPr>
            <w:r>
              <w:rPr>
                <w:rFonts w:cs="Times New Roman"/>
                <w:sz w:val="22"/>
              </w:rPr>
              <w:t>47–170171</w:t>
            </w:r>
          </w:p>
        </w:tc>
        <w:tc>
          <w:tcPr>
            <w:tcW w:w="731" w:type="pct"/>
          </w:tcPr>
          <w:p w:rsidR="00FA1F4E" w:rsidRDefault="00FA1F4E">
            <w:pPr>
              <w:pStyle w:val="afff2"/>
              <w:ind w:firstLine="0"/>
              <w:jc w:val="center"/>
              <w:rPr>
                <w:rFonts w:cs="Times New Roman"/>
              </w:rPr>
            </w:pP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3.4</w:t>
            </w:r>
          </w:p>
        </w:tc>
        <w:tc>
          <w:tcPr>
            <w:tcW w:w="747" w:type="pct"/>
          </w:tcPr>
          <w:p w:rsidR="00FA1F4E" w:rsidRDefault="003B2CFF">
            <w:pPr>
              <w:pStyle w:val="afff2"/>
              <w:ind w:firstLine="0"/>
              <w:jc w:val="center"/>
              <w:rPr>
                <w:rFonts w:cs="Times New Roman"/>
              </w:rPr>
            </w:pPr>
            <w:r>
              <w:rPr>
                <w:rFonts w:cs="Times New Roman"/>
              </w:rPr>
              <w:t>Жилой дом с лавкой (торговым 1-ым этажом)</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Ленина, 14, ул. Карла Маркса, 38</w:t>
            </w:r>
          </w:p>
        </w:tc>
        <w:tc>
          <w:tcPr>
            <w:tcW w:w="632" w:type="pct"/>
          </w:tcPr>
          <w:p w:rsidR="00FA1F4E" w:rsidRDefault="003B2CFF">
            <w:pPr>
              <w:ind w:firstLine="0"/>
              <w:jc w:val="center"/>
              <w:rPr>
                <w:rFonts w:cs="Times New Roman"/>
                <w:sz w:val="22"/>
              </w:rPr>
            </w:pPr>
            <w:r>
              <w:rPr>
                <w:rFonts w:cs="Times New Roman"/>
                <w:sz w:val="22"/>
              </w:rPr>
              <w:t>47–170172</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3.5</w:t>
            </w:r>
          </w:p>
        </w:tc>
        <w:tc>
          <w:tcPr>
            <w:tcW w:w="747" w:type="pct"/>
          </w:tcPr>
          <w:p w:rsidR="00FA1F4E" w:rsidRDefault="003B2CFF">
            <w:pPr>
              <w:pStyle w:val="afff2"/>
              <w:ind w:firstLine="0"/>
              <w:jc w:val="center"/>
              <w:rPr>
                <w:rFonts w:cs="Times New Roman"/>
              </w:rPr>
            </w:pPr>
            <w:r>
              <w:rPr>
                <w:rFonts w:cs="Times New Roman"/>
              </w:rPr>
              <w:t>Купеческий дом</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Урицкого, 2</w:t>
            </w:r>
          </w:p>
        </w:tc>
        <w:tc>
          <w:tcPr>
            <w:tcW w:w="632" w:type="pct"/>
          </w:tcPr>
          <w:p w:rsidR="00FA1F4E" w:rsidRDefault="003B2CFF">
            <w:pPr>
              <w:ind w:firstLine="0"/>
              <w:jc w:val="center"/>
              <w:rPr>
                <w:rFonts w:cs="Times New Roman"/>
                <w:sz w:val="22"/>
              </w:rPr>
            </w:pPr>
            <w:r>
              <w:rPr>
                <w:rFonts w:cs="Times New Roman"/>
                <w:sz w:val="22"/>
              </w:rPr>
              <w:t>47–170173</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3.6</w:t>
            </w:r>
          </w:p>
        </w:tc>
        <w:tc>
          <w:tcPr>
            <w:tcW w:w="747" w:type="pct"/>
          </w:tcPr>
          <w:p w:rsidR="00FA1F4E" w:rsidRDefault="003B2CFF">
            <w:pPr>
              <w:pStyle w:val="afff2"/>
              <w:ind w:firstLine="0"/>
              <w:jc w:val="center"/>
              <w:rPr>
                <w:rFonts w:cs="Times New Roman"/>
              </w:rPr>
            </w:pPr>
            <w:r>
              <w:rPr>
                <w:rFonts w:cs="Times New Roman"/>
              </w:rPr>
              <w:t>Служебный железнодорожный флигель</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Ив. Ярославцева, 1</w:t>
            </w:r>
          </w:p>
        </w:tc>
        <w:tc>
          <w:tcPr>
            <w:tcW w:w="632" w:type="pct"/>
          </w:tcPr>
          <w:p w:rsidR="00FA1F4E" w:rsidRDefault="003B2CFF">
            <w:pPr>
              <w:ind w:firstLine="0"/>
              <w:jc w:val="center"/>
              <w:rPr>
                <w:rFonts w:cs="Times New Roman"/>
                <w:sz w:val="22"/>
              </w:rPr>
            </w:pPr>
            <w:r>
              <w:rPr>
                <w:rFonts w:cs="Times New Roman"/>
                <w:sz w:val="22"/>
              </w:rPr>
              <w:t>47–170174</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3.7</w:t>
            </w:r>
          </w:p>
        </w:tc>
        <w:tc>
          <w:tcPr>
            <w:tcW w:w="747" w:type="pct"/>
          </w:tcPr>
          <w:p w:rsidR="00FA1F4E" w:rsidRDefault="003B2CFF">
            <w:pPr>
              <w:pStyle w:val="afff2"/>
              <w:ind w:firstLine="0"/>
              <w:jc w:val="center"/>
              <w:rPr>
                <w:rFonts w:cs="Times New Roman"/>
              </w:rPr>
            </w:pPr>
            <w:r>
              <w:rPr>
                <w:rFonts w:cs="Times New Roman"/>
              </w:rPr>
              <w:t>Педагогическое училище</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Гагарина, 10</w:t>
            </w:r>
          </w:p>
        </w:tc>
        <w:tc>
          <w:tcPr>
            <w:tcW w:w="632" w:type="pct"/>
          </w:tcPr>
          <w:p w:rsidR="00FA1F4E" w:rsidRDefault="003B2CFF">
            <w:pPr>
              <w:ind w:firstLine="0"/>
              <w:jc w:val="center"/>
              <w:rPr>
                <w:rFonts w:cs="Times New Roman"/>
                <w:sz w:val="22"/>
              </w:rPr>
            </w:pPr>
            <w:r>
              <w:rPr>
                <w:rFonts w:cs="Times New Roman"/>
                <w:sz w:val="22"/>
              </w:rPr>
              <w:t>47–170175</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lastRenderedPageBreak/>
              <w:t>3.8</w:t>
            </w:r>
          </w:p>
        </w:tc>
        <w:tc>
          <w:tcPr>
            <w:tcW w:w="747" w:type="pct"/>
          </w:tcPr>
          <w:p w:rsidR="00FA1F4E" w:rsidRDefault="003B2CFF">
            <w:pPr>
              <w:pStyle w:val="afff2"/>
              <w:ind w:firstLine="0"/>
              <w:jc w:val="center"/>
              <w:rPr>
                <w:rFonts w:cs="Times New Roman"/>
              </w:rPr>
            </w:pPr>
            <w:r>
              <w:rPr>
                <w:rFonts w:cs="Times New Roman"/>
              </w:rPr>
              <w:t>Казначейство (НКВД)</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Ульяновская, 5</w:t>
            </w:r>
          </w:p>
        </w:tc>
        <w:tc>
          <w:tcPr>
            <w:tcW w:w="632" w:type="pct"/>
          </w:tcPr>
          <w:p w:rsidR="00FA1F4E" w:rsidRDefault="003B2CFF">
            <w:pPr>
              <w:ind w:firstLine="0"/>
              <w:jc w:val="center"/>
              <w:rPr>
                <w:rFonts w:cs="Times New Roman"/>
                <w:sz w:val="22"/>
              </w:rPr>
            </w:pPr>
            <w:r>
              <w:rPr>
                <w:rFonts w:cs="Times New Roman"/>
                <w:sz w:val="22"/>
              </w:rPr>
              <w:t>47–170176</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3.9</w:t>
            </w:r>
          </w:p>
        </w:tc>
        <w:tc>
          <w:tcPr>
            <w:tcW w:w="747" w:type="pct"/>
          </w:tcPr>
          <w:p w:rsidR="00FA1F4E" w:rsidRDefault="003B2CFF">
            <w:pPr>
              <w:pStyle w:val="afff2"/>
              <w:ind w:firstLine="0"/>
              <w:jc w:val="center"/>
              <w:rPr>
                <w:rFonts w:cs="Times New Roman"/>
              </w:rPr>
            </w:pPr>
            <w:r>
              <w:rPr>
                <w:rFonts w:cs="Times New Roman"/>
              </w:rPr>
              <w:t>Железнодорожный техникум</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(Манинское поле) ул. Железнодорожная-Свердлова, 2</w:t>
            </w:r>
          </w:p>
        </w:tc>
        <w:tc>
          <w:tcPr>
            <w:tcW w:w="632" w:type="pct"/>
          </w:tcPr>
          <w:p w:rsidR="00FA1F4E" w:rsidRDefault="003B2CFF">
            <w:pPr>
              <w:ind w:firstLine="0"/>
              <w:jc w:val="center"/>
              <w:rPr>
                <w:rFonts w:cs="Times New Roman"/>
                <w:sz w:val="22"/>
              </w:rPr>
            </w:pPr>
            <w:r>
              <w:rPr>
                <w:rFonts w:cs="Times New Roman"/>
                <w:sz w:val="22"/>
              </w:rPr>
              <w:t>47–170177</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3.10</w:t>
            </w:r>
          </w:p>
        </w:tc>
        <w:tc>
          <w:tcPr>
            <w:tcW w:w="747" w:type="pct"/>
          </w:tcPr>
          <w:p w:rsidR="00FA1F4E" w:rsidRDefault="003B2CFF">
            <w:pPr>
              <w:pStyle w:val="afff2"/>
              <w:ind w:firstLine="0"/>
              <w:jc w:val="center"/>
              <w:rPr>
                <w:rFonts w:cs="Times New Roman"/>
              </w:rPr>
            </w:pPr>
            <w:r>
              <w:rPr>
                <w:rFonts w:cs="Times New Roman"/>
              </w:rPr>
              <w:t>Лавки купца Манина</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Ударника, 11</w:t>
            </w:r>
          </w:p>
        </w:tc>
        <w:tc>
          <w:tcPr>
            <w:tcW w:w="632" w:type="pct"/>
          </w:tcPr>
          <w:p w:rsidR="00FA1F4E" w:rsidRDefault="003B2CFF">
            <w:pPr>
              <w:ind w:firstLine="0"/>
              <w:jc w:val="center"/>
              <w:rPr>
                <w:rFonts w:cs="Times New Roman"/>
                <w:sz w:val="22"/>
              </w:rPr>
            </w:pPr>
            <w:r>
              <w:rPr>
                <w:rFonts w:cs="Times New Roman"/>
                <w:sz w:val="22"/>
              </w:rPr>
              <w:t>47–170178</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3.11</w:t>
            </w:r>
          </w:p>
        </w:tc>
        <w:tc>
          <w:tcPr>
            <w:tcW w:w="747" w:type="pct"/>
          </w:tcPr>
          <w:p w:rsidR="00FA1F4E" w:rsidRDefault="003B2CFF">
            <w:pPr>
              <w:pStyle w:val="afff2"/>
              <w:ind w:firstLine="0"/>
              <w:jc w:val="center"/>
              <w:rPr>
                <w:rFonts w:cs="Times New Roman"/>
              </w:rPr>
            </w:pPr>
            <w:r>
              <w:rPr>
                <w:rFonts w:cs="Times New Roman"/>
              </w:rPr>
              <w:t>Жилой дом-особняк</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Ленина, 41 или Володарского, 36</w:t>
            </w:r>
          </w:p>
        </w:tc>
        <w:tc>
          <w:tcPr>
            <w:tcW w:w="632" w:type="pct"/>
          </w:tcPr>
          <w:p w:rsidR="00FA1F4E" w:rsidRDefault="003B2CFF">
            <w:pPr>
              <w:ind w:firstLine="0"/>
              <w:jc w:val="center"/>
              <w:rPr>
                <w:rFonts w:cs="Times New Roman"/>
                <w:sz w:val="22"/>
              </w:rPr>
            </w:pPr>
            <w:r>
              <w:rPr>
                <w:rFonts w:cs="Times New Roman"/>
                <w:sz w:val="22"/>
              </w:rPr>
              <w:t>47–170191</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3.12</w:t>
            </w:r>
          </w:p>
        </w:tc>
        <w:tc>
          <w:tcPr>
            <w:tcW w:w="747" w:type="pct"/>
          </w:tcPr>
          <w:p w:rsidR="00FA1F4E" w:rsidRDefault="003B2CFF">
            <w:pPr>
              <w:pStyle w:val="afff2"/>
              <w:ind w:firstLine="0"/>
              <w:jc w:val="center"/>
              <w:rPr>
                <w:rFonts w:cs="Times New Roman"/>
              </w:rPr>
            </w:pPr>
            <w:r>
              <w:rPr>
                <w:rFonts w:cs="Times New Roman"/>
              </w:rPr>
              <w:t>Купеческий дом</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Урицкого, 4</w:t>
            </w:r>
          </w:p>
        </w:tc>
        <w:tc>
          <w:tcPr>
            <w:tcW w:w="632" w:type="pct"/>
          </w:tcPr>
          <w:p w:rsidR="00FA1F4E" w:rsidRDefault="003B2CFF">
            <w:pPr>
              <w:ind w:firstLine="0"/>
              <w:jc w:val="center"/>
              <w:rPr>
                <w:rFonts w:cs="Times New Roman"/>
                <w:sz w:val="22"/>
              </w:rPr>
            </w:pPr>
            <w:r>
              <w:rPr>
                <w:rFonts w:cs="Times New Roman"/>
                <w:sz w:val="22"/>
              </w:rPr>
              <w:t>47–170192</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3.13</w:t>
            </w:r>
          </w:p>
        </w:tc>
        <w:tc>
          <w:tcPr>
            <w:tcW w:w="747" w:type="pct"/>
          </w:tcPr>
          <w:p w:rsidR="00FA1F4E" w:rsidRDefault="003B2CFF">
            <w:pPr>
              <w:pStyle w:val="afff2"/>
              <w:ind w:firstLine="0"/>
              <w:jc w:val="center"/>
              <w:rPr>
                <w:rFonts w:cs="Times New Roman"/>
              </w:rPr>
            </w:pPr>
            <w:r>
              <w:rPr>
                <w:rFonts w:cs="Times New Roman"/>
              </w:rPr>
              <w:t>Водонапорная башня</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Привокзальная пл.</w:t>
            </w:r>
          </w:p>
        </w:tc>
        <w:tc>
          <w:tcPr>
            <w:tcW w:w="632" w:type="pct"/>
          </w:tcPr>
          <w:p w:rsidR="00FA1F4E" w:rsidRDefault="003B2CFF">
            <w:pPr>
              <w:ind w:firstLine="0"/>
              <w:jc w:val="center"/>
              <w:rPr>
                <w:rFonts w:cs="Times New Roman"/>
                <w:sz w:val="22"/>
              </w:rPr>
            </w:pPr>
            <w:r>
              <w:rPr>
                <w:rFonts w:cs="Times New Roman"/>
                <w:sz w:val="22"/>
              </w:rPr>
              <w:t>47–170193</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lastRenderedPageBreak/>
              <w:t>3.14</w:t>
            </w:r>
          </w:p>
        </w:tc>
        <w:tc>
          <w:tcPr>
            <w:tcW w:w="747" w:type="pct"/>
          </w:tcPr>
          <w:p w:rsidR="00FA1F4E" w:rsidRDefault="003B2CFF">
            <w:pPr>
              <w:pStyle w:val="afff2"/>
              <w:ind w:firstLine="0"/>
              <w:jc w:val="center"/>
              <w:rPr>
                <w:rFonts w:cs="Times New Roman"/>
              </w:rPr>
            </w:pPr>
            <w:r>
              <w:rPr>
                <w:rFonts w:cs="Times New Roman"/>
              </w:rPr>
              <w:t>Поликлиника</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Октябрьский пр. (между пер. Свердлова и Рабочим)</w:t>
            </w:r>
          </w:p>
        </w:tc>
        <w:tc>
          <w:tcPr>
            <w:tcW w:w="632" w:type="pct"/>
          </w:tcPr>
          <w:p w:rsidR="00FA1F4E" w:rsidRDefault="003B2CFF">
            <w:pPr>
              <w:ind w:firstLine="0"/>
              <w:jc w:val="center"/>
              <w:rPr>
                <w:rFonts w:cs="Times New Roman"/>
                <w:sz w:val="22"/>
              </w:rPr>
            </w:pPr>
            <w:r>
              <w:rPr>
                <w:rFonts w:cs="Times New Roman"/>
                <w:sz w:val="22"/>
              </w:rPr>
              <w:t>47–170194</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3.15</w:t>
            </w:r>
          </w:p>
        </w:tc>
        <w:tc>
          <w:tcPr>
            <w:tcW w:w="747" w:type="pct"/>
          </w:tcPr>
          <w:p w:rsidR="00FA1F4E" w:rsidRDefault="003B2CFF">
            <w:pPr>
              <w:pStyle w:val="afff2"/>
              <w:ind w:firstLine="0"/>
              <w:jc w:val="center"/>
              <w:rPr>
                <w:rFonts w:cs="Times New Roman"/>
              </w:rPr>
            </w:pPr>
            <w:r>
              <w:rPr>
                <w:rFonts w:cs="Times New Roman"/>
              </w:rPr>
              <w:t>Баня</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Коммунаров, 4</w:t>
            </w:r>
          </w:p>
        </w:tc>
        <w:tc>
          <w:tcPr>
            <w:tcW w:w="632" w:type="pct"/>
          </w:tcPr>
          <w:p w:rsidR="00FA1F4E" w:rsidRDefault="003B2CFF">
            <w:pPr>
              <w:ind w:firstLine="0"/>
              <w:jc w:val="center"/>
              <w:rPr>
                <w:rFonts w:cs="Times New Roman"/>
                <w:sz w:val="22"/>
              </w:rPr>
            </w:pPr>
            <w:r>
              <w:rPr>
                <w:rFonts w:cs="Times New Roman"/>
                <w:sz w:val="22"/>
              </w:rPr>
              <w:t>47–170195</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3.16</w:t>
            </w:r>
          </w:p>
        </w:tc>
        <w:tc>
          <w:tcPr>
            <w:tcW w:w="747" w:type="pct"/>
          </w:tcPr>
          <w:p w:rsidR="00FA1F4E" w:rsidRDefault="003B2CFF">
            <w:pPr>
              <w:pStyle w:val="afff2"/>
              <w:ind w:firstLine="0"/>
              <w:jc w:val="center"/>
              <w:rPr>
                <w:rFonts w:cs="Times New Roman"/>
              </w:rPr>
            </w:pPr>
            <w:r>
              <w:rPr>
                <w:rFonts w:cs="Times New Roman"/>
              </w:rPr>
              <w:t>Школа</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Маркса, 36</w:t>
            </w:r>
          </w:p>
        </w:tc>
        <w:tc>
          <w:tcPr>
            <w:tcW w:w="632" w:type="pct"/>
          </w:tcPr>
          <w:p w:rsidR="00FA1F4E" w:rsidRDefault="003B2CFF">
            <w:pPr>
              <w:ind w:firstLine="0"/>
              <w:jc w:val="center"/>
              <w:rPr>
                <w:rFonts w:cs="Times New Roman"/>
                <w:sz w:val="22"/>
              </w:rPr>
            </w:pPr>
            <w:r>
              <w:rPr>
                <w:rFonts w:cs="Times New Roman"/>
                <w:sz w:val="22"/>
              </w:rPr>
              <w:t>47–170196</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r w:rsidR="00FA1F4E">
        <w:trPr>
          <w:trHeight w:val="20"/>
        </w:trPr>
        <w:tc>
          <w:tcPr>
            <w:tcW w:w="325" w:type="pct"/>
          </w:tcPr>
          <w:p w:rsidR="00FA1F4E" w:rsidRDefault="003B2CFF">
            <w:pPr>
              <w:pStyle w:val="afff2"/>
              <w:ind w:firstLine="0"/>
              <w:jc w:val="center"/>
              <w:rPr>
                <w:rFonts w:cs="Times New Roman"/>
              </w:rPr>
            </w:pPr>
            <w:r>
              <w:rPr>
                <w:rFonts w:cs="Times New Roman"/>
              </w:rPr>
              <w:t>3.17</w:t>
            </w:r>
          </w:p>
        </w:tc>
        <w:tc>
          <w:tcPr>
            <w:tcW w:w="747" w:type="pct"/>
          </w:tcPr>
          <w:p w:rsidR="00FA1F4E" w:rsidRDefault="003B2CFF">
            <w:pPr>
              <w:pStyle w:val="afff2"/>
              <w:ind w:firstLine="0"/>
              <w:jc w:val="center"/>
              <w:rPr>
                <w:rFonts w:cs="Times New Roman"/>
              </w:rPr>
            </w:pPr>
            <w:r>
              <w:rPr>
                <w:rFonts w:cs="Times New Roman"/>
              </w:rPr>
              <w:t>Гимназия (училище)</w:t>
            </w:r>
          </w:p>
        </w:tc>
        <w:tc>
          <w:tcPr>
            <w:tcW w:w="993" w:type="pct"/>
          </w:tcPr>
          <w:p w:rsidR="00FA1F4E" w:rsidRDefault="003B2CFF">
            <w:pPr>
              <w:pStyle w:val="afff2"/>
              <w:ind w:firstLine="0"/>
              <w:jc w:val="center"/>
              <w:rPr>
                <w:rFonts w:cs="Times New Roman"/>
              </w:rPr>
            </w:pPr>
            <w:r>
              <w:rPr>
                <w:rFonts w:cs="Times New Roman"/>
              </w:rPr>
              <w:t>Акт постановки на учет № 10-4 от 15.03.1993</w:t>
            </w:r>
          </w:p>
        </w:tc>
        <w:tc>
          <w:tcPr>
            <w:tcW w:w="1016" w:type="pct"/>
          </w:tcPr>
          <w:p w:rsidR="00FA1F4E" w:rsidRDefault="003B2CFF">
            <w:pPr>
              <w:pStyle w:val="afff2"/>
              <w:ind w:firstLine="0"/>
              <w:jc w:val="center"/>
              <w:rPr>
                <w:rFonts w:cs="Times New Roman"/>
              </w:rPr>
            </w:pPr>
            <w:r>
              <w:rPr>
                <w:rFonts w:cs="Times New Roman"/>
              </w:rPr>
              <w:t>Ленинградская область, Лодейнопольский район, г. Лодейное Поле, ул. Ленина, 18</w:t>
            </w:r>
          </w:p>
        </w:tc>
        <w:tc>
          <w:tcPr>
            <w:tcW w:w="632" w:type="pct"/>
          </w:tcPr>
          <w:p w:rsidR="00FA1F4E" w:rsidRDefault="003B2CFF">
            <w:pPr>
              <w:ind w:firstLine="0"/>
              <w:jc w:val="center"/>
              <w:rPr>
                <w:rFonts w:cs="Times New Roman"/>
                <w:sz w:val="22"/>
              </w:rPr>
            </w:pPr>
            <w:r>
              <w:rPr>
                <w:rFonts w:cs="Times New Roman"/>
                <w:sz w:val="22"/>
              </w:rPr>
              <w:t>47–170197</w:t>
            </w:r>
          </w:p>
        </w:tc>
        <w:tc>
          <w:tcPr>
            <w:tcW w:w="731" w:type="pct"/>
          </w:tcPr>
          <w:p w:rsidR="00FA1F4E" w:rsidRDefault="003B2CFF">
            <w:pPr>
              <w:pStyle w:val="afff2"/>
              <w:ind w:firstLine="0"/>
              <w:jc w:val="center"/>
              <w:rPr>
                <w:rFonts w:cs="Times New Roman"/>
              </w:rPr>
            </w:pPr>
            <w:r>
              <w:rPr>
                <w:rFonts w:cs="Times New Roman"/>
              </w:rPr>
              <w:t>Не утверждены</w:t>
            </w:r>
          </w:p>
        </w:tc>
        <w:tc>
          <w:tcPr>
            <w:tcW w:w="1826" w:type="dxa"/>
          </w:tcPr>
          <w:p w:rsidR="00FA1F4E" w:rsidRDefault="003B2CFF">
            <w:pPr>
              <w:pStyle w:val="afff2"/>
              <w:ind w:firstLine="0"/>
              <w:jc w:val="center"/>
              <w:rPr>
                <w:rFonts w:cs="Times New Roman"/>
              </w:rPr>
            </w:pPr>
            <w:r>
              <w:rPr>
                <w:rFonts w:cs="Times New Roman"/>
              </w:rPr>
              <w:t>Не подлежит установлению</w:t>
            </w:r>
          </w:p>
        </w:tc>
      </w:tr>
    </w:tbl>
    <w:p w:rsidR="00FA1F4E" w:rsidRDefault="00FA1F4E">
      <w:pPr>
        <w:ind w:firstLine="0"/>
      </w:pPr>
    </w:p>
    <w:p w:rsidR="00FA1F4E" w:rsidRDefault="00FA1F4E">
      <w:pPr>
        <w:ind w:firstLine="0"/>
        <w:sectPr w:rsidR="00FA1F4E">
          <w:pgSz w:w="16838" w:h="11906" w:orient="landscape"/>
          <w:pgMar w:top="1134" w:right="1134" w:bottom="567" w:left="1134" w:header="709" w:footer="709" w:gutter="0"/>
          <w:cols w:space="708"/>
          <w:titlePg/>
          <w:docGrid w:linePitch="360"/>
        </w:sectPr>
      </w:pPr>
    </w:p>
    <w:p w:rsidR="00FA1F4E" w:rsidRDefault="003B2CFF">
      <w:pPr>
        <w:pStyle w:val="1"/>
      </w:pPr>
      <w:bookmarkStart w:id="38" w:name="_Toc106831771"/>
      <w:r>
        <w:lastRenderedPageBreak/>
        <w:t>Приложение 2. Перечень объектов капитального строительства абонентов и территорий, которые необходимо подключить к централизованным системам водоснабжения и (или) водоотведения</w:t>
      </w:r>
      <w:bookmarkEnd w:id="38"/>
    </w:p>
    <w:p w:rsidR="00FA1F4E" w:rsidRDefault="00FA1F4E"/>
    <w:tbl>
      <w:tblPr>
        <w:tblStyle w:val="affc"/>
        <w:tblW w:w="0" w:type="auto"/>
        <w:tblLook w:val="04A0" w:firstRow="1" w:lastRow="0" w:firstColumn="1" w:lastColumn="0" w:noHBand="0" w:noVBand="1"/>
      </w:tblPr>
      <w:tblGrid>
        <w:gridCol w:w="519"/>
        <w:gridCol w:w="2800"/>
        <w:gridCol w:w="3449"/>
        <w:gridCol w:w="1855"/>
        <w:gridCol w:w="1798"/>
      </w:tblGrid>
      <w:tr w:rsidR="00FA1F4E">
        <w:trPr>
          <w:tblHeader/>
        </w:trPr>
        <w:tc>
          <w:tcPr>
            <w:tcW w:w="525" w:type="dxa"/>
            <w:vAlign w:val="center"/>
          </w:tcPr>
          <w:p w:rsidR="00FA1F4E" w:rsidRDefault="003B2CFF">
            <w:pPr>
              <w:ind w:firstLine="0"/>
              <w:jc w:val="center"/>
              <w:rPr>
                <w:rFonts w:cs="Times New Roman"/>
                <w:sz w:val="22"/>
              </w:rPr>
            </w:pPr>
            <w:r>
              <w:rPr>
                <w:rFonts w:cs="Times New Roman"/>
                <w:sz w:val="22"/>
              </w:rPr>
              <w:t>№</w:t>
            </w:r>
          </w:p>
        </w:tc>
        <w:tc>
          <w:tcPr>
            <w:tcW w:w="2849" w:type="dxa"/>
            <w:vAlign w:val="center"/>
          </w:tcPr>
          <w:p w:rsidR="00FA1F4E" w:rsidRDefault="003B2CFF">
            <w:pPr>
              <w:ind w:firstLine="0"/>
              <w:jc w:val="center"/>
              <w:rPr>
                <w:rFonts w:cs="Times New Roman"/>
                <w:sz w:val="22"/>
              </w:rPr>
            </w:pPr>
            <w:r>
              <w:rPr>
                <w:rFonts w:cs="Times New Roman"/>
                <w:sz w:val="22"/>
              </w:rPr>
              <w:t>Наименование объекта</w:t>
            </w:r>
          </w:p>
        </w:tc>
        <w:tc>
          <w:tcPr>
            <w:tcW w:w="3534" w:type="dxa"/>
            <w:vAlign w:val="center"/>
          </w:tcPr>
          <w:p w:rsidR="00FA1F4E" w:rsidRDefault="003B2CFF">
            <w:pPr>
              <w:ind w:firstLine="0"/>
              <w:jc w:val="center"/>
              <w:rPr>
                <w:rFonts w:cs="Times New Roman"/>
                <w:sz w:val="22"/>
              </w:rPr>
            </w:pPr>
            <w:r>
              <w:rPr>
                <w:rFonts w:cs="Times New Roman"/>
                <w:sz w:val="22"/>
              </w:rPr>
              <w:t>Местоположение</w:t>
            </w:r>
          </w:p>
        </w:tc>
        <w:tc>
          <w:tcPr>
            <w:tcW w:w="1785" w:type="dxa"/>
            <w:vAlign w:val="center"/>
          </w:tcPr>
          <w:p w:rsidR="00FA1F4E" w:rsidRDefault="003B2CFF">
            <w:pPr>
              <w:ind w:firstLine="0"/>
              <w:jc w:val="center"/>
              <w:rPr>
                <w:rFonts w:cs="Times New Roman"/>
                <w:sz w:val="22"/>
              </w:rPr>
            </w:pPr>
            <w:r>
              <w:rPr>
                <w:rFonts w:cs="Times New Roman"/>
                <w:sz w:val="22"/>
              </w:rPr>
              <w:t>Общая нагрузка водоснабжение</w:t>
            </w:r>
            <w:r>
              <w:rPr>
                <w:rStyle w:val="af8"/>
                <w:rFonts w:cs="Times New Roman"/>
                <w:sz w:val="22"/>
              </w:rPr>
              <w:footnoteReference w:id="11"/>
            </w:r>
            <w:r>
              <w:rPr>
                <w:rFonts w:cs="Times New Roman"/>
                <w:sz w:val="22"/>
              </w:rPr>
              <w:t>, м</w:t>
            </w:r>
            <w:r>
              <w:rPr>
                <w:rFonts w:cs="Times New Roman"/>
                <w:sz w:val="22"/>
                <w:vertAlign w:val="superscript"/>
              </w:rPr>
              <w:t>3</w:t>
            </w:r>
            <w:r>
              <w:rPr>
                <w:rFonts w:cs="Times New Roman"/>
                <w:sz w:val="22"/>
              </w:rPr>
              <w:t>/сут</w:t>
            </w:r>
          </w:p>
        </w:tc>
        <w:tc>
          <w:tcPr>
            <w:tcW w:w="1728" w:type="dxa"/>
            <w:vAlign w:val="center"/>
          </w:tcPr>
          <w:p w:rsidR="00FA1F4E" w:rsidRDefault="003B2CFF">
            <w:pPr>
              <w:ind w:firstLine="0"/>
              <w:jc w:val="center"/>
              <w:rPr>
                <w:rFonts w:cs="Times New Roman"/>
                <w:sz w:val="22"/>
              </w:rPr>
            </w:pPr>
            <w:r>
              <w:rPr>
                <w:rFonts w:cs="Times New Roman"/>
                <w:sz w:val="22"/>
              </w:rPr>
              <w:t>Общая нагрузка водоотведение</w:t>
            </w:r>
            <w:r>
              <w:rPr>
                <w:rStyle w:val="af8"/>
                <w:rFonts w:cs="Times New Roman"/>
                <w:sz w:val="22"/>
              </w:rPr>
              <w:footnoteReference w:id="12"/>
            </w:r>
            <w:r>
              <w:rPr>
                <w:rFonts w:cs="Times New Roman"/>
                <w:sz w:val="22"/>
              </w:rPr>
              <w:t>, м</w:t>
            </w:r>
            <w:r>
              <w:rPr>
                <w:rFonts w:cs="Times New Roman"/>
                <w:sz w:val="22"/>
                <w:vertAlign w:val="superscript"/>
              </w:rPr>
              <w:t>3</w:t>
            </w:r>
            <w:r>
              <w:rPr>
                <w:rFonts w:cs="Times New Roman"/>
                <w:sz w:val="22"/>
              </w:rPr>
              <w:t>/сут</w:t>
            </w:r>
          </w:p>
        </w:tc>
      </w:tr>
      <w:tr w:rsidR="00FA1F4E">
        <w:tc>
          <w:tcPr>
            <w:tcW w:w="525" w:type="dxa"/>
          </w:tcPr>
          <w:p w:rsidR="00FA1F4E" w:rsidRDefault="003B2CFF">
            <w:pPr>
              <w:ind w:firstLine="0"/>
              <w:jc w:val="center"/>
              <w:rPr>
                <w:rFonts w:cs="Times New Roman"/>
                <w:sz w:val="22"/>
              </w:rPr>
            </w:pPr>
            <w:r>
              <w:rPr>
                <w:rFonts w:cs="Times New Roman"/>
                <w:sz w:val="22"/>
              </w:rPr>
              <w:t>1</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Розы Люксембург от ул. Железнодорожная до пр. Октябрьский</w:t>
            </w:r>
          </w:p>
        </w:tc>
        <w:tc>
          <w:tcPr>
            <w:tcW w:w="1785" w:type="dxa"/>
          </w:tcPr>
          <w:p w:rsidR="00FA1F4E" w:rsidRDefault="003B2CFF">
            <w:pPr>
              <w:ind w:firstLine="0"/>
              <w:jc w:val="center"/>
              <w:rPr>
                <w:rFonts w:cs="Times New Roman"/>
                <w:sz w:val="22"/>
              </w:rPr>
            </w:pPr>
            <w:r>
              <w:rPr>
                <w:rFonts w:cs="Times New Roman"/>
                <w:sz w:val="22"/>
              </w:rPr>
              <w:t>40</w:t>
            </w:r>
          </w:p>
        </w:tc>
        <w:tc>
          <w:tcPr>
            <w:tcW w:w="1728" w:type="dxa"/>
          </w:tcPr>
          <w:p w:rsidR="00FA1F4E" w:rsidRDefault="003B2CFF">
            <w:pPr>
              <w:ind w:firstLine="0"/>
              <w:jc w:val="center"/>
              <w:rPr>
                <w:rFonts w:cs="Times New Roman"/>
                <w:sz w:val="22"/>
              </w:rPr>
            </w:pPr>
            <w:r>
              <w:rPr>
                <w:rFonts w:cs="Times New Roman"/>
                <w:sz w:val="22"/>
              </w:rPr>
              <w:t>40</w:t>
            </w:r>
          </w:p>
        </w:tc>
      </w:tr>
      <w:tr w:rsidR="00FA1F4E">
        <w:tc>
          <w:tcPr>
            <w:tcW w:w="525" w:type="dxa"/>
          </w:tcPr>
          <w:p w:rsidR="00FA1F4E" w:rsidRDefault="003B2CFF">
            <w:pPr>
              <w:ind w:firstLine="0"/>
              <w:jc w:val="center"/>
              <w:rPr>
                <w:rFonts w:cs="Times New Roman"/>
                <w:sz w:val="22"/>
              </w:rPr>
            </w:pPr>
            <w:r>
              <w:rPr>
                <w:rFonts w:cs="Times New Roman"/>
                <w:sz w:val="22"/>
              </w:rPr>
              <w:t>2</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Песочная от ул. Железнодорожная до ул. Интернациональная</w:t>
            </w:r>
          </w:p>
        </w:tc>
        <w:tc>
          <w:tcPr>
            <w:tcW w:w="1785" w:type="dxa"/>
          </w:tcPr>
          <w:p w:rsidR="00FA1F4E" w:rsidRDefault="003B2CFF">
            <w:pPr>
              <w:ind w:firstLine="0"/>
              <w:jc w:val="center"/>
              <w:rPr>
                <w:rFonts w:cs="Times New Roman"/>
                <w:sz w:val="22"/>
              </w:rPr>
            </w:pPr>
            <w:r>
              <w:rPr>
                <w:rFonts w:cs="Times New Roman"/>
                <w:sz w:val="22"/>
              </w:rPr>
              <w:t>30</w:t>
            </w:r>
          </w:p>
        </w:tc>
        <w:tc>
          <w:tcPr>
            <w:tcW w:w="1728" w:type="dxa"/>
          </w:tcPr>
          <w:p w:rsidR="00FA1F4E" w:rsidRDefault="003B2CFF">
            <w:pPr>
              <w:ind w:firstLine="0"/>
              <w:jc w:val="center"/>
              <w:rPr>
                <w:rFonts w:cs="Times New Roman"/>
                <w:sz w:val="22"/>
              </w:rPr>
            </w:pPr>
            <w:r>
              <w:rPr>
                <w:rFonts w:cs="Times New Roman"/>
                <w:sz w:val="22"/>
              </w:rPr>
              <w:t>30</w:t>
            </w:r>
          </w:p>
        </w:tc>
      </w:tr>
      <w:tr w:rsidR="00FA1F4E">
        <w:tc>
          <w:tcPr>
            <w:tcW w:w="525" w:type="dxa"/>
          </w:tcPr>
          <w:p w:rsidR="00FA1F4E" w:rsidRDefault="003B2CFF">
            <w:pPr>
              <w:ind w:firstLine="0"/>
              <w:jc w:val="center"/>
              <w:rPr>
                <w:rFonts w:cs="Times New Roman"/>
                <w:sz w:val="22"/>
              </w:rPr>
            </w:pPr>
            <w:r>
              <w:rPr>
                <w:rFonts w:cs="Times New Roman"/>
                <w:sz w:val="22"/>
              </w:rPr>
              <w:t>3</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Пионерская от ул. Железнодорожная до пр. Октябрьский</w:t>
            </w:r>
          </w:p>
        </w:tc>
        <w:tc>
          <w:tcPr>
            <w:tcW w:w="1785" w:type="dxa"/>
          </w:tcPr>
          <w:p w:rsidR="00FA1F4E" w:rsidRDefault="003B2CFF">
            <w:pPr>
              <w:ind w:firstLine="0"/>
              <w:jc w:val="center"/>
              <w:rPr>
                <w:rFonts w:cs="Times New Roman"/>
                <w:sz w:val="22"/>
              </w:rPr>
            </w:pPr>
            <w:r>
              <w:rPr>
                <w:rFonts w:cs="Times New Roman"/>
                <w:sz w:val="22"/>
              </w:rPr>
              <w:t>30</w:t>
            </w:r>
          </w:p>
        </w:tc>
        <w:tc>
          <w:tcPr>
            <w:tcW w:w="1728" w:type="dxa"/>
          </w:tcPr>
          <w:p w:rsidR="00FA1F4E" w:rsidRDefault="003B2CFF">
            <w:pPr>
              <w:ind w:firstLine="0"/>
              <w:jc w:val="center"/>
              <w:rPr>
                <w:rFonts w:cs="Times New Roman"/>
                <w:sz w:val="22"/>
              </w:rPr>
            </w:pPr>
            <w:r>
              <w:rPr>
                <w:rFonts w:cs="Times New Roman"/>
                <w:sz w:val="22"/>
              </w:rPr>
              <w:t>30</w:t>
            </w:r>
          </w:p>
        </w:tc>
      </w:tr>
      <w:tr w:rsidR="00FA1F4E">
        <w:tc>
          <w:tcPr>
            <w:tcW w:w="525" w:type="dxa"/>
          </w:tcPr>
          <w:p w:rsidR="00FA1F4E" w:rsidRDefault="003B2CFF">
            <w:pPr>
              <w:ind w:firstLine="0"/>
              <w:jc w:val="center"/>
              <w:rPr>
                <w:rFonts w:cs="Times New Roman"/>
                <w:sz w:val="22"/>
              </w:rPr>
            </w:pPr>
            <w:r>
              <w:rPr>
                <w:rFonts w:cs="Times New Roman"/>
                <w:sz w:val="22"/>
              </w:rPr>
              <w:t>4</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Советская от ул. Интернациональная до ул. Рабоче-Крестьянская</w:t>
            </w:r>
          </w:p>
        </w:tc>
        <w:tc>
          <w:tcPr>
            <w:tcW w:w="1785" w:type="dxa"/>
          </w:tcPr>
          <w:p w:rsidR="00FA1F4E" w:rsidRDefault="003B2CFF">
            <w:pPr>
              <w:ind w:firstLine="0"/>
              <w:jc w:val="center"/>
              <w:rPr>
                <w:rFonts w:cs="Times New Roman"/>
                <w:sz w:val="22"/>
              </w:rPr>
            </w:pPr>
            <w:r>
              <w:rPr>
                <w:rFonts w:cs="Times New Roman"/>
                <w:sz w:val="22"/>
              </w:rPr>
              <w:t>50</w:t>
            </w:r>
          </w:p>
        </w:tc>
        <w:tc>
          <w:tcPr>
            <w:tcW w:w="1728" w:type="dxa"/>
          </w:tcPr>
          <w:p w:rsidR="00FA1F4E" w:rsidRDefault="003B2CFF">
            <w:pPr>
              <w:ind w:firstLine="0"/>
              <w:jc w:val="center"/>
              <w:rPr>
                <w:rFonts w:cs="Times New Roman"/>
                <w:sz w:val="22"/>
              </w:rPr>
            </w:pPr>
            <w:r>
              <w:rPr>
                <w:rFonts w:cs="Times New Roman"/>
                <w:sz w:val="22"/>
              </w:rPr>
              <w:t>50</w:t>
            </w:r>
          </w:p>
        </w:tc>
      </w:tr>
      <w:tr w:rsidR="00FA1F4E">
        <w:tc>
          <w:tcPr>
            <w:tcW w:w="525" w:type="dxa"/>
          </w:tcPr>
          <w:p w:rsidR="00FA1F4E" w:rsidRDefault="003B2CFF">
            <w:pPr>
              <w:ind w:firstLine="0"/>
              <w:jc w:val="center"/>
              <w:rPr>
                <w:rFonts w:cs="Times New Roman"/>
                <w:sz w:val="22"/>
              </w:rPr>
            </w:pPr>
            <w:r>
              <w:rPr>
                <w:rFonts w:cs="Times New Roman"/>
                <w:sz w:val="22"/>
              </w:rPr>
              <w:t>5</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Профсоюзная от ул. Интернациональная до ул. Рабоче-Крестьянская</w:t>
            </w:r>
          </w:p>
        </w:tc>
        <w:tc>
          <w:tcPr>
            <w:tcW w:w="1785" w:type="dxa"/>
          </w:tcPr>
          <w:p w:rsidR="00FA1F4E" w:rsidRDefault="003B2CFF">
            <w:pPr>
              <w:ind w:firstLine="0"/>
              <w:jc w:val="center"/>
              <w:rPr>
                <w:rFonts w:cs="Times New Roman"/>
                <w:sz w:val="22"/>
              </w:rPr>
            </w:pPr>
            <w:r>
              <w:rPr>
                <w:rFonts w:cs="Times New Roman"/>
                <w:sz w:val="22"/>
              </w:rPr>
              <w:t>35</w:t>
            </w:r>
          </w:p>
        </w:tc>
        <w:tc>
          <w:tcPr>
            <w:tcW w:w="1728" w:type="dxa"/>
          </w:tcPr>
          <w:p w:rsidR="00FA1F4E" w:rsidRDefault="003B2CFF">
            <w:pPr>
              <w:ind w:firstLine="0"/>
              <w:jc w:val="center"/>
              <w:rPr>
                <w:rFonts w:cs="Times New Roman"/>
                <w:sz w:val="22"/>
              </w:rPr>
            </w:pPr>
            <w:r>
              <w:rPr>
                <w:rFonts w:cs="Times New Roman"/>
                <w:sz w:val="22"/>
              </w:rPr>
              <w:t>35</w:t>
            </w:r>
          </w:p>
        </w:tc>
      </w:tr>
      <w:tr w:rsidR="00FA1F4E">
        <w:tc>
          <w:tcPr>
            <w:tcW w:w="525" w:type="dxa"/>
          </w:tcPr>
          <w:p w:rsidR="00FA1F4E" w:rsidRDefault="003B2CFF">
            <w:pPr>
              <w:ind w:firstLine="0"/>
              <w:jc w:val="center"/>
              <w:rPr>
                <w:rFonts w:cs="Times New Roman"/>
                <w:sz w:val="22"/>
              </w:rPr>
            </w:pPr>
            <w:r>
              <w:rPr>
                <w:rFonts w:cs="Times New Roman"/>
                <w:sz w:val="22"/>
              </w:rPr>
              <w:t>6</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Комсомольская от ул. Интернациональная до ул. Рабоче-Крестьянская</w:t>
            </w:r>
          </w:p>
        </w:tc>
        <w:tc>
          <w:tcPr>
            <w:tcW w:w="1785" w:type="dxa"/>
          </w:tcPr>
          <w:p w:rsidR="00FA1F4E" w:rsidRDefault="003B2CFF">
            <w:pPr>
              <w:ind w:firstLine="0"/>
              <w:jc w:val="center"/>
              <w:rPr>
                <w:rFonts w:cs="Times New Roman"/>
                <w:sz w:val="22"/>
              </w:rPr>
            </w:pPr>
            <w:r>
              <w:rPr>
                <w:rFonts w:cs="Times New Roman"/>
                <w:sz w:val="22"/>
              </w:rPr>
              <w:t>45</w:t>
            </w:r>
          </w:p>
        </w:tc>
        <w:tc>
          <w:tcPr>
            <w:tcW w:w="1728" w:type="dxa"/>
          </w:tcPr>
          <w:p w:rsidR="00FA1F4E" w:rsidRDefault="003B2CFF">
            <w:pPr>
              <w:ind w:firstLine="0"/>
              <w:jc w:val="center"/>
              <w:rPr>
                <w:rFonts w:cs="Times New Roman"/>
                <w:sz w:val="22"/>
              </w:rPr>
            </w:pPr>
            <w:r>
              <w:rPr>
                <w:rFonts w:cs="Times New Roman"/>
                <w:sz w:val="22"/>
              </w:rPr>
              <w:t>45</w:t>
            </w:r>
          </w:p>
        </w:tc>
      </w:tr>
      <w:tr w:rsidR="00FA1F4E">
        <w:tc>
          <w:tcPr>
            <w:tcW w:w="525" w:type="dxa"/>
          </w:tcPr>
          <w:p w:rsidR="00FA1F4E" w:rsidRDefault="003B2CFF">
            <w:pPr>
              <w:ind w:firstLine="0"/>
              <w:jc w:val="center"/>
              <w:rPr>
                <w:rFonts w:cs="Times New Roman"/>
                <w:sz w:val="22"/>
              </w:rPr>
            </w:pPr>
            <w:r>
              <w:rPr>
                <w:rFonts w:cs="Times New Roman"/>
                <w:sz w:val="22"/>
              </w:rPr>
              <w:t>7</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Гражданская от ул. Дмитрия Арсенова до ул. Лесная</w:t>
            </w:r>
          </w:p>
        </w:tc>
        <w:tc>
          <w:tcPr>
            <w:tcW w:w="1785" w:type="dxa"/>
          </w:tcPr>
          <w:p w:rsidR="00FA1F4E" w:rsidRDefault="003B2CFF">
            <w:pPr>
              <w:ind w:firstLine="0"/>
              <w:jc w:val="center"/>
              <w:rPr>
                <w:rFonts w:cs="Times New Roman"/>
                <w:sz w:val="22"/>
              </w:rPr>
            </w:pPr>
            <w:r>
              <w:rPr>
                <w:rFonts w:cs="Times New Roman"/>
                <w:sz w:val="22"/>
              </w:rPr>
              <w:t>150</w:t>
            </w:r>
          </w:p>
        </w:tc>
        <w:tc>
          <w:tcPr>
            <w:tcW w:w="1728" w:type="dxa"/>
          </w:tcPr>
          <w:p w:rsidR="00FA1F4E" w:rsidRDefault="003B2CFF">
            <w:pPr>
              <w:ind w:firstLine="0"/>
              <w:jc w:val="center"/>
              <w:rPr>
                <w:rFonts w:cs="Times New Roman"/>
                <w:sz w:val="22"/>
              </w:rPr>
            </w:pPr>
            <w:r>
              <w:rPr>
                <w:rFonts w:cs="Times New Roman"/>
                <w:sz w:val="22"/>
              </w:rPr>
              <w:t>150</w:t>
            </w:r>
          </w:p>
        </w:tc>
      </w:tr>
      <w:tr w:rsidR="00FA1F4E">
        <w:tc>
          <w:tcPr>
            <w:tcW w:w="525" w:type="dxa"/>
          </w:tcPr>
          <w:p w:rsidR="00FA1F4E" w:rsidRDefault="003B2CFF">
            <w:pPr>
              <w:ind w:firstLine="0"/>
              <w:jc w:val="center"/>
              <w:rPr>
                <w:rFonts w:cs="Times New Roman"/>
                <w:sz w:val="22"/>
              </w:rPr>
            </w:pPr>
            <w:r>
              <w:rPr>
                <w:rFonts w:cs="Times New Roman"/>
                <w:sz w:val="22"/>
              </w:rPr>
              <w:t>8</w:t>
            </w:r>
          </w:p>
        </w:tc>
        <w:tc>
          <w:tcPr>
            <w:tcW w:w="2849" w:type="dxa"/>
          </w:tcPr>
          <w:p w:rsidR="00FA1F4E" w:rsidRDefault="003B2CFF">
            <w:pPr>
              <w:ind w:firstLine="0"/>
              <w:rPr>
                <w:rFonts w:cs="Times New Roman"/>
                <w:sz w:val="22"/>
              </w:rPr>
            </w:pPr>
            <w:r>
              <w:rPr>
                <w:rFonts w:cs="Times New Roman"/>
                <w:sz w:val="22"/>
              </w:rPr>
              <w:t>Общественные здания, административные, 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пр. Ленина от ул. Плеханова до дома 121 по пр. Ленина</w:t>
            </w:r>
          </w:p>
        </w:tc>
        <w:tc>
          <w:tcPr>
            <w:tcW w:w="1785" w:type="dxa"/>
          </w:tcPr>
          <w:p w:rsidR="00FA1F4E" w:rsidRDefault="003B2CFF">
            <w:pPr>
              <w:ind w:firstLine="0"/>
              <w:jc w:val="center"/>
              <w:rPr>
                <w:rFonts w:cs="Times New Roman"/>
                <w:sz w:val="22"/>
              </w:rPr>
            </w:pPr>
            <w:r>
              <w:rPr>
                <w:rFonts w:cs="Times New Roman"/>
                <w:sz w:val="22"/>
              </w:rPr>
              <w:t>250</w:t>
            </w:r>
          </w:p>
        </w:tc>
        <w:tc>
          <w:tcPr>
            <w:tcW w:w="1728" w:type="dxa"/>
          </w:tcPr>
          <w:p w:rsidR="00FA1F4E" w:rsidRDefault="003B2CFF">
            <w:pPr>
              <w:ind w:firstLine="0"/>
              <w:jc w:val="center"/>
              <w:rPr>
                <w:rFonts w:cs="Times New Roman"/>
                <w:sz w:val="22"/>
              </w:rPr>
            </w:pPr>
            <w:r>
              <w:rPr>
                <w:rFonts w:cs="Times New Roman"/>
                <w:sz w:val="22"/>
              </w:rPr>
              <w:t>250</w:t>
            </w:r>
          </w:p>
        </w:tc>
      </w:tr>
      <w:tr w:rsidR="00FA1F4E">
        <w:tc>
          <w:tcPr>
            <w:tcW w:w="525" w:type="dxa"/>
          </w:tcPr>
          <w:p w:rsidR="00FA1F4E" w:rsidRDefault="003B2CFF">
            <w:pPr>
              <w:ind w:firstLine="0"/>
              <w:jc w:val="center"/>
              <w:rPr>
                <w:rFonts w:cs="Times New Roman"/>
                <w:sz w:val="22"/>
              </w:rPr>
            </w:pPr>
            <w:r>
              <w:rPr>
                <w:rFonts w:cs="Times New Roman"/>
                <w:sz w:val="22"/>
              </w:rPr>
              <w:t>9</w:t>
            </w:r>
          </w:p>
        </w:tc>
        <w:tc>
          <w:tcPr>
            <w:tcW w:w="2849" w:type="dxa"/>
          </w:tcPr>
          <w:p w:rsidR="00FA1F4E" w:rsidRDefault="003B2CFF">
            <w:pPr>
              <w:ind w:firstLine="0"/>
              <w:rPr>
                <w:rFonts w:cs="Times New Roman"/>
                <w:sz w:val="22"/>
              </w:rPr>
            </w:pPr>
            <w:r>
              <w:rPr>
                <w:rFonts w:cs="Times New Roman"/>
                <w:sz w:val="22"/>
              </w:rPr>
              <w:t>Общественные здания, 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Ульяновская от ул. Карла Маркса до пр. Гагарина</w:t>
            </w:r>
          </w:p>
        </w:tc>
        <w:tc>
          <w:tcPr>
            <w:tcW w:w="1785" w:type="dxa"/>
          </w:tcPr>
          <w:p w:rsidR="00FA1F4E" w:rsidRDefault="003B2CFF">
            <w:pPr>
              <w:ind w:firstLine="0"/>
              <w:jc w:val="center"/>
              <w:rPr>
                <w:rFonts w:cs="Times New Roman"/>
                <w:sz w:val="22"/>
              </w:rPr>
            </w:pPr>
            <w:r>
              <w:rPr>
                <w:rFonts w:cs="Times New Roman"/>
                <w:sz w:val="22"/>
              </w:rPr>
              <w:t>80</w:t>
            </w:r>
          </w:p>
        </w:tc>
        <w:tc>
          <w:tcPr>
            <w:tcW w:w="1728" w:type="dxa"/>
          </w:tcPr>
          <w:p w:rsidR="00FA1F4E" w:rsidRDefault="003B2CFF">
            <w:pPr>
              <w:ind w:firstLine="0"/>
              <w:jc w:val="center"/>
              <w:rPr>
                <w:rFonts w:cs="Times New Roman"/>
                <w:sz w:val="22"/>
              </w:rPr>
            </w:pPr>
            <w:r>
              <w:rPr>
                <w:rFonts w:cs="Times New Roman"/>
                <w:sz w:val="22"/>
              </w:rPr>
              <w:t>80</w:t>
            </w:r>
          </w:p>
        </w:tc>
      </w:tr>
      <w:tr w:rsidR="00FA1F4E">
        <w:tc>
          <w:tcPr>
            <w:tcW w:w="525" w:type="dxa"/>
          </w:tcPr>
          <w:p w:rsidR="00FA1F4E" w:rsidRDefault="003B2CFF">
            <w:pPr>
              <w:ind w:firstLine="0"/>
              <w:jc w:val="center"/>
              <w:rPr>
                <w:rFonts w:cs="Times New Roman"/>
                <w:sz w:val="22"/>
              </w:rPr>
            </w:pPr>
            <w:r>
              <w:rPr>
                <w:rFonts w:cs="Times New Roman"/>
                <w:sz w:val="22"/>
              </w:rPr>
              <w:t>10</w:t>
            </w:r>
          </w:p>
        </w:tc>
        <w:tc>
          <w:tcPr>
            <w:tcW w:w="2849" w:type="dxa"/>
          </w:tcPr>
          <w:p w:rsidR="00FA1F4E" w:rsidRDefault="003B2CFF">
            <w:pPr>
              <w:ind w:firstLine="0"/>
              <w:rPr>
                <w:rFonts w:cs="Times New Roman"/>
                <w:sz w:val="22"/>
              </w:rPr>
            </w:pPr>
            <w:r>
              <w:rPr>
                <w:rFonts w:cs="Times New Roman"/>
                <w:sz w:val="22"/>
              </w:rPr>
              <w:t>Общественные здания, 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Карла Маркса от ул. Коммунаров до Набережной Красного Флота</w:t>
            </w:r>
          </w:p>
        </w:tc>
        <w:tc>
          <w:tcPr>
            <w:tcW w:w="1785" w:type="dxa"/>
          </w:tcPr>
          <w:p w:rsidR="00FA1F4E" w:rsidRDefault="003B2CFF">
            <w:pPr>
              <w:ind w:firstLine="0"/>
              <w:jc w:val="center"/>
              <w:rPr>
                <w:rFonts w:cs="Times New Roman"/>
                <w:sz w:val="22"/>
              </w:rPr>
            </w:pPr>
            <w:r>
              <w:rPr>
                <w:rFonts w:cs="Times New Roman"/>
                <w:sz w:val="22"/>
              </w:rPr>
              <w:t>60</w:t>
            </w:r>
          </w:p>
        </w:tc>
        <w:tc>
          <w:tcPr>
            <w:tcW w:w="1728" w:type="dxa"/>
          </w:tcPr>
          <w:p w:rsidR="00FA1F4E" w:rsidRDefault="003B2CFF">
            <w:pPr>
              <w:ind w:firstLine="0"/>
              <w:jc w:val="center"/>
              <w:rPr>
                <w:rFonts w:cs="Times New Roman"/>
                <w:sz w:val="22"/>
              </w:rPr>
            </w:pPr>
            <w:r>
              <w:rPr>
                <w:rFonts w:cs="Times New Roman"/>
                <w:sz w:val="22"/>
              </w:rPr>
              <w:t>60</w:t>
            </w:r>
          </w:p>
        </w:tc>
      </w:tr>
      <w:tr w:rsidR="00FA1F4E">
        <w:tc>
          <w:tcPr>
            <w:tcW w:w="525" w:type="dxa"/>
          </w:tcPr>
          <w:p w:rsidR="00FA1F4E" w:rsidRDefault="003B2CFF">
            <w:pPr>
              <w:ind w:firstLine="0"/>
              <w:jc w:val="center"/>
              <w:rPr>
                <w:rFonts w:cs="Times New Roman"/>
                <w:sz w:val="22"/>
              </w:rPr>
            </w:pPr>
            <w:r>
              <w:rPr>
                <w:rFonts w:cs="Times New Roman"/>
                <w:sz w:val="22"/>
              </w:rPr>
              <w:t>11</w:t>
            </w:r>
          </w:p>
        </w:tc>
        <w:tc>
          <w:tcPr>
            <w:tcW w:w="2849" w:type="dxa"/>
          </w:tcPr>
          <w:p w:rsidR="00FA1F4E" w:rsidRDefault="003B2CFF">
            <w:pPr>
              <w:ind w:firstLine="0"/>
              <w:rPr>
                <w:rFonts w:cs="Times New Roman"/>
                <w:sz w:val="22"/>
              </w:rPr>
            </w:pPr>
            <w:r>
              <w:rPr>
                <w:rFonts w:cs="Times New Roman"/>
                <w:sz w:val="22"/>
              </w:rPr>
              <w:t>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Пограничная от пр. Ленина до ул. 8-го Марта</w:t>
            </w:r>
          </w:p>
        </w:tc>
        <w:tc>
          <w:tcPr>
            <w:tcW w:w="1785" w:type="dxa"/>
          </w:tcPr>
          <w:p w:rsidR="00FA1F4E" w:rsidRDefault="003B2CFF">
            <w:pPr>
              <w:ind w:firstLine="0"/>
              <w:jc w:val="center"/>
              <w:rPr>
                <w:rFonts w:cs="Times New Roman"/>
                <w:sz w:val="22"/>
              </w:rPr>
            </w:pPr>
            <w:r>
              <w:rPr>
                <w:rFonts w:cs="Times New Roman"/>
                <w:sz w:val="22"/>
              </w:rPr>
              <w:t>90</w:t>
            </w:r>
          </w:p>
        </w:tc>
        <w:tc>
          <w:tcPr>
            <w:tcW w:w="1728" w:type="dxa"/>
          </w:tcPr>
          <w:p w:rsidR="00FA1F4E" w:rsidRDefault="003B2CFF">
            <w:pPr>
              <w:ind w:firstLine="0"/>
              <w:jc w:val="center"/>
              <w:rPr>
                <w:rFonts w:cs="Times New Roman"/>
                <w:sz w:val="22"/>
              </w:rPr>
            </w:pPr>
            <w:r>
              <w:rPr>
                <w:rFonts w:cs="Times New Roman"/>
                <w:sz w:val="22"/>
              </w:rPr>
              <w:t>90</w:t>
            </w:r>
          </w:p>
        </w:tc>
      </w:tr>
      <w:tr w:rsidR="00FA1F4E">
        <w:tc>
          <w:tcPr>
            <w:tcW w:w="525" w:type="dxa"/>
          </w:tcPr>
          <w:p w:rsidR="00FA1F4E" w:rsidRDefault="003B2CFF">
            <w:pPr>
              <w:ind w:firstLine="0"/>
              <w:jc w:val="center"/>
              <w:rPr>
                <w:rFonts w:cs="Times New Roman"/>
                <w:sz w:val="22"/>
              </w:rPr>
            </w:pPr>
            <w:r>
              <w:rPr>
                <w:rFonts w:cs="Times New Roman"/>
                <w:sz w:val="22"/>
              </w:rPr>
              <w:t>12</w:t>
            </w:r>
          </w:p>
        </w:tc>
        <w:tc>
          <w:tcPr>
            <w:tcW w:w="2849" w:type="dxa"/>
          </w:tcPr>
          <w:p w:rsidR="00FA1F4E" w:rsidRDefault="003B2CFF">
            <w:pPr>
              <w:ind w:firstLine="0"/>
              <w:rPr>
                <w:rFonts w:cs="Times New Roman"/>
                <w:sz w:val="22"/>
              </w:rPr>
            </w:pPr>
            <w:r>
              <w:rPr>
                <w:rFonts w:cs="Times New Roman"/>
                <w:sz w:val="22"/>
              </w:rPr>
              <w:t>Общественные здания, 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Республиканская от Военкоматского пер. до ул. Свирская</w:t>
            </w:r>
          </w:p>
        </w:tc>
        <w:tc>
          <w:tcPr>
            <w:tcW w:w="1785" w:type="dxa"/>
          </w:tcPr>
          <w:p w:rsidR="00FA1F4E" w:rsidRDefault="003B2CFF">
            <w:pPr>
              <w:ind w:firstLine="0"/>
              <w:jc w:val="center"/>
              <w:rPr>
                <w:rFonts w:cs="Times New Roman"/>
                <w:sz w:val="22"/>
              </w:rPr>
            </w:pPr>
            <w:r>
              <w:rPr>
                <w:rFonts w:cs="Times New Roman"/>
                <w:sz w:val="22"/>
              </w:rPr>
              <w:t>240</w:t>
            </w:r>
          </w:p>
        </w:tc>
        <w:tc>
          <w:tcPr>
            <w:tcW w:w="1728" w:type="dxa"/>
          </w:tcPr>
          <w:p w:rsidR="00FA1F4E" w:rsidRDefault="003B2CFF">
            <w:pPr>
              <w:ind w:firstLine="0"/>
              <w:jc w:val="center"/>
              <w:rPr>
                <w:rFonts w:cs="Times New Roman"/>
                <w:sz w:val="22"/>
              </w:rPr>
            </w:pPr>
            <w:r>
              <w:rPr>
                <w:rFonts w:cs="Times New Roman"/>
                <w:sz w:val="22"/>
              </w:rPr>
              <w:t>240</w:t>
            </w:r>
          </w:p>
        </w:tc>
      </w:tr>
      <w:tr w:rsidR="00FA1F4E">
        <w:tc>
          <w:tcPr>
            <w:tcW w:w="525" w:type="dxa"/>
          </w:tcPr>
          <w:p w:rsidR="00FA1F4E" w:rsidRDefault="003B2CFF">
            <w:pPr>
              <w:ind w:firstLine="0"/>
              <w:jc w:val="center"/>
              <w:rPr>
                <w:rFonts w:cs="Times New Roman"/>
                <w:sz w:val="22"/>
              </w:rPr>
            </w:pPr>
            <w:r>
              <w:rPr>
                <w:rFonts w:cs="Times New Roman"/>
                <w:sz w:val="22"/>
              </w:rPr>
              <w:t>13</w:t>
            </w:r>
          </w:p>
        </w:tc>
        <w:tc>
          <w:tcPr>
            <w:tcW w:w="2849" w:type="dxa"/>
          </w:tcPr>
          <w:p w:rsidR="00FA1F4E" w:rsidRDefault="003B2CFF">
            <w:pPr>
              <w:ind w:firstLine="0"/>
              <w:rPr>
                <w:rFonts w:cs="Times New Roman"/>
                <w:sz w:val="22"/>
              </w:rPr>
            </w:pPr>
            <w:r>
              <w:rPr>
                <w:rFonts w:cs="Times New Roman"/>
                <w:sz w:val="22"/>
              </w:rPr>
              <w:t xml:space="preserve">Индивидуальное </w:t>
            </w:r>
            <w:r>
              <w:rPr>
                <w:rFonts w:cs="Times New Roman"/>
                <w:sz w:val="22"/>
              </w:rPr>
              <w:lastRenderedPageBreak/>
              <w:t>жилищное строительство</w:t>
            </w:r>
          </w:p>
        </w:tc>
        <w:tc>
          <w:tcPr>
            <w:tcW w:w="3534" w:type="dxa"/>
          </w:tcPr>
          <w:p w:rsidR="00FA1F4E" w:rsidRDefault="003B2CFF">
            <w:pPr>
              <w:ind w:firstLine="0"/>
              <w:rPr>
                <w:rFonts w:cs="Times New Roman"/>
                <w:sz w:val="22"/>
              </w:rPr>
            </w:pPr>
            <w:r>
              <w:rPr>
                <w:rFonts w:cs="Times New Roman"/>
                <w:sz w:val="22"/>
              </w:rPr>
              <w:lastRenderedPageBreak/>
              <w:t xml:space="preserve">г. Лодейное Поле по ул. Свирская </w:t>
            </w:r>
            <w:r>
              <w:rPr>
                <w:rFonts w:cs="Times New Roman"/>
                <w:sz w:val="22"/>
              </w:rPr>
              <w:lastRenderedPageBreak/>
              <w:t>от ул. Республиканская до пр. Ленина</w:t>
            </w:r>
          </w:p>
        </w:tc>
        <w:tc>
          <w:tcPr>
            <w:tcW w:w="1785" w:type="dxa"/>
          </w:tcPr>
          <w:p w:rsidR="00FA1F4E" w:rsidRDefault="003B2CFF">
            <w:pPr>
              <w:ind w:firstLine="0"/>
              <w:jc w:val="center"/>
              <w:rPr>
                <w:rFonts w:cs="Times New Roman"/>
                <w:sz w:val="22"/>
              </w:rPr>
            </w:pPr>
            <w:r>
              <w:rPr>
                <w:rFonts w:cs="Times New Roman"/>
                <w:sz w:val="22"/>
              </w:rPr>
              <w:lastRenderedPageBreak/>
              <w:t>60</w:t>
            </w:r>
          </w:p>
        </w:tc>
        <w:tc>
          <w:tcPr>
            <w:tcW w:w="1728" w:type="dxa"/>
          </w:tcPr>
          <w:p w:rsidR="00FA1F4E" w:rsidRDefault="003B2CFF">
            <w:pPr>
              <w:ind w:firstLine="0"/>
              <w:jc w:val="center"/>
              <w:rPr>
                <w:rFonts w:cs="Times New Roman"/>
                <w:sz w:val="22"/>
              </w:rPr>
            </w:pPr>
            <w:r>
              <w:rPr>
                <w:rFonts w:cs="Times New Roman"/>
                <w:sz w:val="22"/>
              </w:rPr>
              <w:t>60</w:t>
            </w:r>
          </w:p>
        </w:tc>
      </w:tr>
      <w:tr w:rsidR="00FA1F4E">
        <w:tc>
          <w:tcPr>
            <w:tcW w:w="525" w:type="dxa"/>
          </w:tcPr>
          <w:p w:rsidR="00FA1F4E" w:rsidRDefault="003B2CFF">
            <w:pPr>
              <w:ind w:firstLine="0"/>
              <w:jc w:val="center"/>
              <w:rPr>
                <w:rFonts w:cs="Times New Roman"/>
                <w:sz w:val="22"/>
              </w:rPr>
            </w:pPr>
            <w:r>
              <w:rPr>
                <w:rFonts w:cs="Times New Roman"/>
                <w:sz w:val="22"/>
              </w:rPr>
              <w:lastRenderedPageBreak/>
              <w:t>14</w:t>
            </w:r>
          </w:p>
        </w:tc>
        <w:tc>
          <w:tcPr>
            <w:tcW w:w="2849" w:type="dxa"/>
          </w:tcPr>
          <w:p w:rsidR="00FA1F4E" w:rsidRDefault="003B2CFF">
            <w:pPr>
              <w:ind w:firstLine="0"/>
              <w:rPr>
                <w:rFonts w:cs="Times New Roman"/>
                <w:sz w:val="22"/>
              </w:rPr>
            </w:pPr>
            <w:r>
              <w:rPr>
                <w:rFonts w:cs="Times New Roman"/>
                <w:sz w:val="22"/>
              </w:rPr>
              <w:t>Реконструкция: здание образовательного учреждения</w:t>
            </w:r>
          </w:p>
        </w:tc>
        <w:tc>
          <w:tcPr>
            <w:tcW w:w="3534" w:type="dxa"/>
          </w:tcPr>
          <w:p w:rsidR="00FA1F4E" w:rsidRDefault="003B2CFF">
            <w:pPr>
              <w:ind w:firstLine="0"/>
              <w:rPr>
                <w:rFonts w:cs="Times New Roman"/>
                <w:sz w:val="22"/>
              </w:rPr>
            </w:pPr>
            <w:r>
              <w:rPr>
                <w:rFonts w:cs="Times New Roman"/>
                <w:sz w:val="22"/>
              </w:rPr>
              <w:t>г. Лодейное Поле, пр. Ленина, д. 35</w:t>
            </w:r>
          </w:p>
        </w:tc>
        <w:tc>
          <w:tcPr>
            <w:tcW w:w="1785" w:type="dxa"/>
          </w:tcPr>
          <w:p w:rsidR="00FA1F4E" w:rsidRDefault="003B2CFF">
            <w:pPr>
              <w:ind w:firstLine="0"/>
              <w:jc w:val="center"/>
              <w:rPr>
                <w:rFonts w:cs="Times New Roman"/>
                <w:sz w:val="22"/>
              </w:rPr>
            </w:pPr>
            <w:r>
              <w:rPr>
                <w:rFonts w:cs="Times New Roman"/>
                <w:sz w:val="22"/>
              </w:rPr>
              <w:t>10</w:t>
            </w:r>
          </w:p>
        </w:tc>
        <w:tc>
          <w:tcPr>
            <w:tcW w:w="1728" w:type="dxa"/>
          </w:tcPr>
          <w:p w:rsidR="00FA1F4E" w:rsidRDefault="003B2CFF">
            <w:pPr>
              <w:ind w:firstLine="0"/>
              <w:jc w:val="center"/>
              <w:rPr>
                <w:rFonts w:cs="Times New Roman"/>
                <w:sz w:val="22"/>
              </w:rPr>
            </w:pPr>
            <w:r>
              <w:rPr>
                <w:rFonts w:cs="Times New Roman"/>
                <w:sz w:val="22"/>
              </w:rPr>
              <w:t>10</w:t>
            </w:r>
          </w:p>
        </w:tc>
      </w:tr>
      <w:tr w:rsidR="00FA1F4E">
        <w:tc>
          <w:tcPr>
            <w:tcW w:w="525" w:type="dxa"/>
          </w:tcPr>
          <w:p w:rsidR="00FA1F4E" w:rsidRDefault="003B2CFF">
            <w:pPr>
              <w:ind w:firstLine="0"/>
              <w:jc w:val="center"/>
              <w:rPr>
                <w:rFonts w:cs="Times New Roman"/>
                <w:sz w:val="22"/>
              </w:rPr>
            </w:pPr>
            <w:r>
              <w:rPr>
                <w:rFonts w:cs="Times New Roman"/>
                <w:sz w:val="22"/>
              </w:rPr>
              <w:t>15</w:t>
            </w:r>
          </w:p>
        </w:tc>
        <w:tc>
          <w:tcPr>
            <w:tcW w:w="2849" w:type="dxa"/>
          </w:tcPr>
          <w:p w:rsidR="00FA1F4E" w:rsidRDefault="003B2CFF">
            <w:pPr>
              <w:ind w:firstLine="0"/>
              <w:rPr>
                <w:rFonts w:cs="Times New Roman"/>
                <w:sz w:val="22"/>
              </w:rPr>
            </w:pPr>
            <w:r>
              <w:rPr>
                <w:rFonts w:cs="Times New Roman"/>
                <w:sz w:val="22"/>
              </w:rPr>
              <w:t>Реконструкция: здание МКОУ «СОШ № 68» на 500 мест</w:t>
            </w:r>
          </w:p>
        </w:tc>
        <w:tc>
          <w:tcPr>
            <w:tcW w:w="3534" w:type="dxa"/>
          </w:tcPr>
          <w:p w:rsidR="00FA1F4E" w:rsidRDefault="003B2CFF">
            <w:pPr>
              <w:ind w:firstLine="0"/>
              <w:rPr>
                <w:rFonts w:cs="Times New Roman"/>
                <w:sz w:val="22"/>
              </w:rPr>
            </w:pPr>
            <w:r>
              <w:rPr>
                <w:rFonts w:cs="Times New Roman"/>
                <w:sz w:val="22"/>
              </w:rPr>
              <w:t>г. Лодейное Поле, ул. Титова, д. 48</w:t>
            </w:r>
          </w:p>
        </w:tc>
        <w:tc>
          <w:tcPr>
            <w:tcW w:w="1785" w:type="dxa"/>
          </w:tcPr>
          <w:p w:rsidR="00FA1F4E" w:rsidRDefault="003B2CFF">
            <w:pPr>
              <w:ind w:firstLine="0"/>
              <w:jc w:val="center"/>
              <w:rPr>
                <w:rFonts w:cs="Times New Roman"/>
                <w:sz w:val="22"/>
              </w:rPr>
            </w:pPr>
            <w:r>
              <w:rPr>
                <w:rFonts w:cs="Times New Roman"/>
                <w:sz w:val="22"/>
              </w:rPr>
              <w:t>36,5</w:t>
            </w:r>
          </w:p>
        </w:tc>
        <w:tc>
          <w:tcPr>
            <w:tcW w:w="1728" w:type="dxa"/>
          </w:tcPr>
          <w:p w:rsidR="00FA1F4E" w:rsidRDefault="003B2CFF">
            <w:pPr>
              <w:ind w:firstLine="0"/>
              <w:jc w:val="center"/>
              <w:rPr>
                <w:rFonts w:cs="Times New Roman"/>
                <w:sz w:val="22"/>
              </w:rPr>
            </w:pPr>
            <w:r>
              <w:rPr>
                <w:rFonts w:cs="Times New Roman"/>
                <w:sz w:val="22"/>
              </w:rPr>
              <w:t>36,5</w:t>
            </w:r>
          </w:p>
        </w:tc>
      </w:tr>
      <w:tr w:rsidR="00FA1F4E">
        <w:tc>
          <w:tcPr>
            <w:tcW w:w="525" w:type="dxa"/>
          </w:tcPr>
          <w:p w:rsidR="00FA1F4E" w:rsidRDefault="003B2CFF">
            <w:pPr>
              <w:ind w:firstLine="0"/>
              <w:jc w:val="center"/>
              <w:rPr>
                <w:rFonts w:cs="Times New Roman"/>
                <w:sz w:val="22"/>
              </w:rPr>
            </w:pPr>
            <w:r>
              <w:rPr>
                <w:rFonts w:cs="Times New Roman"/>
                <w:sz w:val="22"/>
              </w:rPr>
              <w:t>16</w:t>
            </w:r>
          </w:p>
        </w:tc>
        <w:tc>
          <w:tcPr>
            <w:tcW w:w="2849" w:type="dxa"/>
          </w:tcPr>
          <w:p w:rsidR="00FA1F4E" w:rsidRDefault="003B2CFF">
            <w:pPr>
              <w:ind w:firstLine="0"/>
              <w:rPr>
                <w:rFonts w:cs="Times New Roman"/>
                <w:sz w:val="22"/>
              </w:rPr>
            </w:pPr>
            <w:r>
              <w:rPr>
                <w:rFonts w:cs="Times New Roman"/>
                <w:sz w:val="22"/>
              </w:rPr>
              <w:t>Новое строительство: комплекс многоквартирных домов</w:t>
            </w:r>
          </w:p>
        </w:tc>
        <w:tc>
          <w:tcPr>
            <w:tcW w:w="3534" w:type="dxa"/>
          </w:tcPr>
          <w:p w:rsidR="00FA1F4E" w:rsidRDefault="003B2CFF">
            <w:pPr>
              <w:ind w:firstLine="0"/>
              <w:rPr>
                <w:rFonts w:cs="Times New Roman"/>
                <w:sz w:val="22"/>
              </w:rPr>
            </w:pPr>
            <w:r>
              <w:rPr>
                <w:rFonts w:cs="Times New Roman"/>
                <w:sz w:val="22"/>
              </w:rPr>
              <w:t>г. Лодейное Поле, пятно застройки ограничено улицами Лесная, Интернациональная, Шмакова, пр. Октябрьский</w:t>
            </w:r>
          </w:p>
        </w:tc>
        <w:tc>
          <w:tcPr>
            <w:tcW w:w="1785" w:type="dxa"/>
          </w:tcPr>
          <w:p w:rsidR="00FA1F4E" w:rsidRDefault="003B2CFF">
            <w:pPr>
              <w:ind w:firstLine="0"/>
              <w:jc w:val="center"/>
              <w:rPr>
                <w:rFonts w:cs="Times New Roman"/>
                <w:sz w:val="22"/>
              </w:rPr>
            </w:pPr>
            <w:r>
              <w:rPr>
                <w:rFonts w:cs="Times New Roman"/>
                <w:sz w:val="22"/>
              </w:rPr>
              <w:t>216</w:t>
            </w:r>
          </w:p>
        </w:tc>
        <w:tc>
          <w:tcPr>
            <w:tcW w:w="1728" w:type="dxa"/>
          </w:tcPr>
          <w:p w:rsidR="00FA1F4E" w:rsidRDefault="003B2CFF">
            <w:pPr>
              <w:ind w:firstLine="0"/>
              <w:jc w:val="center"/>
              <w:rPr>
                <w:rFonts w:cs="Times New Roman"/>
                <w:sz w:val="22"/>
              </w:rPr>
            </w:pPr>
            <w:r>
              <w:rPr>
                <w:rFonts w:cs="Times New Roman"/>
                <w:sz w:val="22"/>
              </w:rPr>
              <w:t>216</w:t>
            </w:r>
          </w:p>
        </w:tc>
      </w:tr>
      <w:tr w:rsidR="00FA1F4E">
        <w:tc>
          <w:tcPr>
            <w:tcW w:w="525" w:type="dxa"/>
          </w:tcPr>
          <w:p w:rsidR="00FA1F4E" w:rsidRDefault="003B2CFF">
            <w:pPr>
              <w:ind w:firstLine="0"/>
              <w:jc w:val="center"/>
              <w:rPr>
                <w:rFonts w:cs="Times New Roman"/>
                <w:sz w:val="22"/>
              </w:rPr>
            </w:pPr>
            <w:r>
              <w:rPr>
                <w:rFonts w:cs="Times New Roman"/>
                <w:sz w:val="22"/>
              </w:rPr>
              <w:t>17</w:t>
            </w:r>
          </w:p>
        </w:tc>
        <w:tc>
          <w:tcPr>
            <w:tcW w:w="2849" w:type="dxa"/>
          </w:tcPr>
          <w:p w:rsidR="00FA1F4E" w:rsidRDefault="003B2CFF">
            <w:pPr>
              <w:ind w:firstLine="0"/>
              <w:rPr>
                <w:rFonts w:cs="Times New Roman"/>
                <w:sz w:val="22"/>
              </w:rPr>
            </w:pPr>
            <w:r>
              <w:rPr>
                <w:rFonts w:cs="Times New Roman"/>
                <w:sz w:val="22"/>
              </w:rPr>
              <w:t>Физкультурно-оздоровительный комплекс</w:t>
            </w:r>
          </w:p>
        </w:tc>
        <w:tc>
          <w:tcPr>
            <w:tcW w:w="3534" w:type="dxa"/>
          </w:tcPr>
          <w:p w:rsidR="00FA1F4E" w:rsidRDefault="003B2CFF">
            <w:pPr>
              <w:ind w:firstLine="0"/>
              <w:rPr>
                <w:rFonts w:cs="Times New Roman"/>
                <w:sz w:val="22"/>
              </w:rPr>
            </w:pPr>
            <w:r>
              <w:rPr>
                <w:rFonts w:cs="Times New Roman"/>
                <w:sz w:val="22"/>
              </w:rPr>
              <w:t>г. Лодейное Поле, ул. Гагарина, д. 1а</w:t>
            </w:r>
          </w:p>
        </w:tc>
        <w:tc>
          <w:tcPr>
            <w:tcW w:w="1785" w:type="dxa"/>
          </w:tcPr>
          <w:p w:rsidR="00FA1F4E" w:rsidRDefault="003B2CFF">
            <w:pPr>
              <w:ind w:firstLine="0"/>
              <w:jc w:val="center"/>
              <w:rPr>
                <w:rFonts w:cs="Times New Roman"/>
                <w:sz w:val="22"/>
              </w:rPr>
            </w:pPr>
            <w:r>
              <w:rPr>
                <w:rFonts w:cs="Times New Roman"/>
                <w:sz w:val="22"/>
              </w:rPr>
              <w:t>20</w:t>
            </w:r>
          </w:p>
        </w:tc>
        <w:tc>
          <w:tcPr>
            <w:tcW w:w="1728" w:type="dxa"/>
          </w:tcPr>
          <w:p w:rsidR="00FA1F4E" w:rsidRDefault="003B2CFF">
            <w:pPr>
              <w:ind w:firstLine="0"/>
              <w:jc w:val="center"/>
              <w:rPr>
                <w:rFonts w:cs="Times New Roman"/>
                <w:sz w:val="22"/>
              </w:rPr>
            </w:pPr>
            <w:r>
              <w:rPr>
                <w:rFonts w:cs="Times New Roman"/>
                <w:sz w:val="22"/>
              </w:rPr>
              <w:t>20</w:t>
            </w:r>
          </w:p>
        </w:tc>
      </w:tr>
      <w:tr w:rsidR="00FA1F4E">
        <w:tc>
          <w:tcPr>
            <w:tcW w:w="525" w:type="dxa"/>
          </w:tcPr>
          <w:p w:rsidR="00FA1F4E" w:rsidRDefault="003B2CFF">
            <w:pPr>
              <w:ind w:firstLine="0"/>
              <w:jc w:val="center"/>
              <w:rPr>
                <w:rFonts w:cs="Times New Roman"/>
                <w:sz w:val="22"/>
              </w:rPr>
            </w:pPr>
            <w:r>
              <w:rPr>
                <w:rFonts w:cs="Times New Roman"/>
                <w:sz w:val="22"/>
              </w:rPr>
              <w:t>18</w:t>
            </w:r>
          </w:p>
        </w:tc>
        <w:tc>
          <w:tcPr>
            <w:tcW w:w="2849" w:type="dxa"/>
          </w:tcPr>
          <w:p w:rsidR="00FA1F4E" w:rsidRDefault="003B2CFF">
            <w:pPr>
              <w:ind w:firstLine="0"/>
              <w:rPr>
                <w:rFonts w:cs="Times New Roman"/>
                <w:sz w:val="22"/>
              </w:rPr>
            </w:pPr>
            <w:r>
              <w:rPr>
                <w:rFonts w:cs="Times New Roman"/>
                <w:sz w:val="22"/>
              </w:rPr>
              <w:t>Строительство второй очереди системы канализации южной части города Лодейное Поле (общественные здания, индивидуальное жилищное строительство)</w:t>
            </w:r>
          </w:p>
        </w:tc>
        <w:tc>
          <w:tcPr>
            <w:tcW w:w="3534" w:type="dxa"/>
          </w:tcPr>
          <w:p w:rsidR="00FA1F4E" w:rsidRDefault="003B2CFF">
            <w:pPr>
              <w:ind w:firstLine="0"/>
              <w:rPr>
                <w:rFonts w:cs="Times New Roman"/>
                <w:sz w:val="22"/>
              </w:rPr>
            </w:pPr>
            <w:r>
              <w:rPr>
                <w:rFonts w:cs="Times New Roman"/>
                <w:sz w:val="22"/>
              </w:rPr>
              <w:t>г. Лодейное Поле по ул. Интернациональная от ул. Дмитрия Арсенова до ул. Мошкина; по всей протяженности ул. Красноармейская; по ул. Розы Люксембург от ул. Железнодорожная до ул. Интернациональная; по ул. Профсоюзная от пр. Октябрьский до ул. Рабоче-Крестьянская; по ул. Красных Зорь от ул. Рабоче-Крестьянская до ул. Интернациональная; по ул. Песочная от ул. Железнодорожная до ул. Интернациональная</w:t>
            </w:r>
          </w:p>
        </w:tc>
        <w:tc>
          <w:tcPr>
            <w:tcW w:w="1785" w:type="dxa"/>
          </w:tcPr>
          <w:p w:rsidR="00FA1F4E" w:rsidRDefault="00FA1F4E">
            <w:pPr>
              <w:ind w:firstLine="0"/>
              <w:jc w:val="center"/>
              <w:rPr>
                <w:rFonts w:cs="Times New Roman"/>
                <w:sz w:val="22"/>
              </w:rPr>
            </w:pPr>
          </w:p>
        </w:tc>
        <w:tc>
          <w:tcPr>
            <w:tcW w:w="1728" w:type="dxa"/>
          </w:tcPr>
          <w:p w:rsidR="00FA1F4E" w:rsidRDefault="003B2CFF">
            <w:pPr>
              <w:ind w:firstLine="0"/>
              <w:jc w:val="center"/>
              <w:rPr>
                <w:rFonts w:cs="Times New Roman"/>
                <w:sz w:val="22"/>
              </w:rPr>
            </w:pPr>
            <w:r>
              <w:rPr>
                <w:rFonts w:cs="Times New Roman"/>
                <w:sz w:val="22"/>
              </w:rPr>
              <w:t>300</w:t>
            </w:r>
          </w:p>
        </w:tc>
      </w:tr>
    </w:tbl>
    <w:p w:rsidR="00FA1F4E" w:rsidRDefault="00FA1F4E">
      <w:pPr>
        <w:ind w:firstLine="0"/>
      </w:pPr>
    </w:p>
    <w:p w:rsidR="00FA1F4E" w:rsidRDefault="003B2CFF">
      <w:pPr>
        <w:pStyle w:val="1"/>
      </w:pPr>
      <w:r>
        <w:lastRenderedPageBreak/>
        <w:t>Приложение 3. Сведения о нормативных санитарно-защитных зонах предприятий, расположенных в г. Лодейное Поле</w:t>
      </w:r>
    </w:p>
    <w:p w:rsidR="00FA1F4E" w:rsidRDefault="00FA1F4E">
      <w:pPr>
        <w:spacing w:line="360" w:lineRule="auto"/>
        <w:jc w:val="right"/>
        <w:rPr>
          <w:rFonts w:cs="Times New Roman"/>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2119"/>
        <w:gridCol w:w="4333"/>
        <w:gridCol w:w="1449"/>
        <w:gridCol w:w="1887"/>
      </w:tblGrid>
      <w:tr w:rsidR="00FA1F4E">
        <w:trPr>
          <w:tblHeade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Наименование предприятия, организации</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Вид деятельности</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Класс опасности</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Размер санитарно-защитной зоны, м</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«Кварта»</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Завод по производству сантехнического оборудования. Производство полотенце сушилок</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«БалтИнвестСтрой»</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Цех по производству пенобетона и тротуарной плитки. Производство стройматериалов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ЗАО «Свирь»</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производство безалкогольных напитков – питьевой газированной воды и лимонада</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4</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«Дентал»</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Открытые склады и перегрузка увлажненных минерально-строительных материалов (песка, гравия, щебня, камней и других). Содержание дорог</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«Спецтранс»</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Производственная площадка для содержания и ведения деятельности, связанной с вывозом ТКО и благоустройством</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6</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«ЦСП –Свирь»</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Производство строительных материалов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III</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расчетная</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7</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Маликов Ю.В.</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Столярное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8</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ГБУ «Волго-Балт» СРГС и С</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Обслуживание путей судоходства</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расчетная</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9</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 xml:space="preserve">ООО «Лодейнопольский комбинат хлебобулочных и кондитерских изделий» </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производство хлебобулочных изделий</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«Лодейнопольская типография»</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Производство печатных материалов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11</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АО «Газпром газораспределение Ленинградская область», Лодейнопольский район газоснабжения</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Обслуживание сетей газоснабжения. Газонакопительная станция</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III</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12</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«Лодбалтлес»</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склад лесоматериалов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13</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«Стройматериалы»</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Торговая база строительных материалов. Лесопильное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14</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«Петровил»</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Сбор и хранение дикорастущих и ягод и грибов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15</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ОАО «Ленхлебпродукт»</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административно–складская деятельность. Склад</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16</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Козлов Д.А.</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Ремонт и хранение техники</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17</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Вощиков Р.Г.</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Лесопильноепроизводство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18</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«Свирьлес»</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Деревообработка и лесозаготовительная деятельность</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III</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lastRenderedPageBreak/>
              <w:t>19</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«Алтын»</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Лесопильное производство. Хранение лесопродукции, продажа стройматериалов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20</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«Лодавто»</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Транспортные услуги. Стоянка автобусов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21</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«Лодавто»</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Производство лесопильное</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22</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«Лодавто» – ИП Егоров В.Н.</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Услуги автотранспорта. Ремонтная зона</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23</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Коршунов</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Лесопильное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24</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 xml:space="preserve">ООО «ТЕРРА» </w:t>
            </w:r>
          </w:p>
          <w:p w:rsidR="00FA1F4E" w:rsidRDefault="00FA1F4E">
            <w:pPr>
              <w:ind w:firstLine="0"/>
              <w:rPr>
                <w:rFonts w:cs="Times New Roman"/>
                <w:sz w:val="22"/>
              </w:rPr>
            </w:pP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 xml:space="preserve">Асфальтобетонный </w:t>
            </w:r>
          </w:p>
          <w:p w:rsidR="00FA1F4E" w:rsidRDefault="003B2CFF">
            <w:pPr>
              <w:ind w:firstLine="0"/>
              <w:rPr>
                <w:rFonts w:cs="Times New Roman"/>
                <w:sz w:val="22"/>
              </w:rPr>
            </w:pPr>
            <w:r>
              <w:rPr>
                <w:rFonts w:cs="Times New Roman"/>
                <w:sz w:val="22"/>
              </w:rPr>
              <w:t>передвижной завод с фильтрами</w:t>
            </w:r>
          </w:p>
          <w:p w:rsidR="00FA1F4E" w:rsidRDefault="003B2CFF">
            <w:pPr>
              <w:ind w:firstLine="0"/>
              <w:rPr>
                <w:rFonts w:cs="Times New Roman"/>
                <w:sz w:val="22"/>
              </w:rPr>
            </w:pPr>
            <w:r>
              <w:rPr>
                <w:rFonts w:cs="Times New Roman"/>
                <w:sz w:val="22"/>
              </w:rPr>
              <w:t>Деятельность не ведется</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25</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«Вердикт»</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Изготовление трикотажной продукции. Швейное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26</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Гехт</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Лесопильное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27</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Прудникова</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Производство лесопильное</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28</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«Секвойя»</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Стоянка автотехники</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29</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Вторчермет</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сбор металлолома</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30</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Минин</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Лесопильное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31</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ИП Вощиков</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Столярное производство</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32</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«ПиМ»</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Изготовление клееного бруса. Предприятие по производству комплектов домов</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33</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 xml:space="preserve">Филиал «Восточные электросети» АО «ЛОЭСК» </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Производственная территория</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34</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ПАО «Ростелеком»</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Складская территория</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50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35</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ПАО «Россети Ленэнерго»</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Производственная территория</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IV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100</w:t>
            </w:r>
          </w:p>
        </w:tc>
      </w:tr>
      <w:tr w:rsidR="00FA1F4E">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rPr>
            </w:pPr>
            <w:r>
              <w:rPr>
                <w:rFonts w:cs="Times New Roman"/>
                <w:sz w:val="22"/>
              </w:rPr>
              <w:t>36</w:t>
            </w:r>
          </w:p>
        </w:tc>
        <w:tc>
          <w:tcPr>
            <w:tcW w:w="211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ООО «Вудсток»</w:t>
            </w:r>
          </w:p>
        </w:tc>
        <w:tc>
          <w:tcPr>
            <w:tcW w:w="4333"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rPr>
                <w:rFonts w:cs="Times New Roman"/>
                <w:sz w:val="22"/>
              </w:rPr>
            </w:pPr>
            <w:r>
              <w:rPr>
                <w:rFonts w:cs="Times New Roman"/>
                <w:sz w:val="22"/>
              </w:rPr>
              <w:t>Пропитка деревянных электрических опор соляным раствором без применения креозота</w:t>
            </w:r>
          </w:p>
        </w:tc>
        <w:tc>
          <w:tcPr>
            <w:tcW w:w="1449"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V</w:t>
            </w:r>
          </w:p>
        </w:tc>
        <w:tc>
          <w:tcPr>
            <w:tcW w:w="1887" w:type="dxa"/>
            <w:tcBorders>
              <w:top w:val="single" w:sz="4" w:space="0" w:color="000000"/>
              <w:left w:val="single" w:sz="4" w:space="0" w:color="000000"/>
              <w:bottom w:val="single" w:sz="4" w:space="0" w:color="000000"/>
              <w:right w:val="single" w:sz="4" w:space="0" w:color="000000"/>
            </w:tcBorders>
            <w:vAlign w:val="center"/>
          </w:tcPr>
          <w:p w:rsidR="00FA1F4E" w:rsidRDefault="003B2CFF">
            <w:pPr>
              <w:ind w:firstLine="0"/>
              <w:jc w:val="center"/>
              <w:rPr>
                <w:rFonts w:cs="Times New Roman"/>
                <w:sz w:val="22"/>
                <w:lang w:val="en-US"/>
              </w:rPr>
            </w:pPr>
            <w:r>
              <w:rPr>
                <w:rFonts w:cs="Times New Roman"/>
                <w:sz w:val="22"/>
                <w:lang w:val="en-US"/>
              </w:rPr>
              <w:t>50</w:t>
            </w:r>
          </w:p>
        </w:tc>
      </w:tr>
    </w:tbl>
    <w:p w:rsidR="00FA1F4E" w:rsidRDefault="00FA1F4E">
      <w:pPr>
        <w:ind w:firstLine="0"/>
      </w:pPr>
    </w:p>
    <w:sectPr w:rsidR="00FA1F4E">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CE2" w:rsidRDefault="00266CE2">
      <w:r>
        <w:separator/>
      </w:r>
    </w:p>
  </w:endnote>
  <w:endnote w:type="continuationSeparator" w:id="0">
    <w:p w:rsidR="00266CE2" w:rsidRDefault="00266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等线 Light">
    <w:altName w:val="AMGDT"/>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default"/>
    <w:sig w:usb0="FFFFFFFF" w:usb1="E9FFFFFF" w:usb2="0000003F" w:usb3="00000000" w:csb0="603F01FF" w:csb1="FFFF0000"/>
  </w:font>
  <w:font w:name="DengXian">
    <w:altName w:val="等线"/>
    <w:panose1 w:val="02010600030101010101"/>
    <w:charset w:val="00"/>
    <w:family w:val="auto"/>
    <w:pitch w:val="default"/>
  </w:font>
  <w:font w:name="Times New Roman CYR">
    <w:altName w:val="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TTimes/Cyrillic">
    <w:altName w:val="Times New Roman"/>
    <w:charset w:val="00"/>
    <w:family w:val="roman"/>
    <w:pitch w:val="default"/>
  </w:font>
  <w:font w:name="PetersburgC">
    <w:altName w:val="Courier New"/>
    <w:charset w:val="00"/>
    <w:family w:val="decorative"/>
    <w:pitch w:val="default"/>
    <w:sig w:usb0="00000000" w:usb1="00000000" w:usb2="00000000" w:usb3="00000000" w:csb0="00000001" w:csb1="00000000"/>
  </w:font>
  <w:font w:name="ISOCPEUR">
    <w:charset w:val="CC"/>
    <w:family w:val="swiss"/>
    <w:pitch w:val="default"/>
    <w:sig w:usb0="00000287" w:usb1="00000000" w:usb2="00000000" w:usb3="00000000" w:csb0="4000009F" w:csb1="DFD70000"/>
  </w:font>
  <w:font w:name="Europe">
    <w:altName w:val="Courier New"/>
    <w:charset w:val="00"/>
    <w:family w:val="decorative"/>
    <w:pitch w:val="default"/>
  </w:font>
  <w:font w:name="AGOpus">
    <w:altName w:val="Times New Roman"/>
    <w:charset w:val="CC"/>
    <w:family w:val="auto"/>
    <w:pitch w:val="default"/>
    <w:sig w:usb0="00000000" w:usb1="00000000" w:usb2="00000000" w:usb3="00000000" w:csb0="00000005" w:csb1="00000000"/>
  </w:font>
  <w:font w:name="TimesNewRoman,BoldItalicOOEnc">
    <w:altName w:val="MS Gothic"/>
    <w:charset w:val="80"/>
    <w:family w:val="auto"/>
    <w:pitch w:val="default"/>
    <w:sig w:usb0="00000000" w:usb1="0000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CE2" w:rsidRDefault="00266CE2">
      <w:r>
        <w:separator/>
      </w:r>
    </w:p>
  </w:footnote>
  <w:footnote w:type="continuationSeparator" w:id="0">
    <w:p w:rsidR="00266CE2" w:rsidRDefault="00266CE2">
      <w:r>
        <w:continuationSeparator/>
      </w:r>
    </w:p>
  </w:footnote>
  <w:footnote w:id="1">
    <w:p w:rsidR="00A87669" w:rsidRDefault="00A87669">
      <w:pPr>
        <w:pStyle w:val="af9"/>
      </w:pPr>
      <w:r>
        <w:rPr>
          <w:rStyle w:val="af8"/>
        </w:rPr>
        <w:footnoteRef/>
      </w:r>
      <w:r>
        <w:t xml:space="preserve"> Сведения о внесении изменений в части функциональных зон представлены в разделе 5.</w:t>
      </w:r>
    </w:p>
  </w:footnote>
  <w:footnote w:id="2">
    <w:p w:rsidR="00A87669" w:rsidRDefault="00A87669">
      <w:pPr>
        <w:pStyle w:val="af9"/>
      </w:pPr>
      <w:r>
        <w:rPr>
          <w:rStyle w:val="af8"/>
        </w:rPr>
        <w:footnoteRef/>
      </w:r>
      <w:r>
        <w:t xml:space="preserve"> В соответствии с постановлением Главного государственного санитарного врача Российской Федерации от 28 января 2021 года № 3 СанПиН 2.2.1/2.1.1.1200-03 признан утратившим силу с 01.01.2025.</w:t>
      </w:r>
    </w:p>
  </w:footnote>
  <w:footnote w:id="3">
    <w:p w:rsidR="00A87669" w:rsidRDefault="00A87669">
      <w:pPr>
        <w:pStyle w:val="af9"/>
      </w:pPr>
      <w:r>
        <w:rPr>
          <w:rStyle w:val="af8"/>
        </w:rPr>
        <w:footnoteRef/>
      </w:r>
      <w:r>
        <w:t xml:space="preserve"> В соответствии с постановлением Главного государственного санитарного врача Российской Федерации от 28 января 2021 года № 3 СанПиН 2.1.4.1110-02 признан утратившим силу с 01.01.2025.</w:t>
      </w:r>
    </w:p>
  </w:footnote>
  <w:footnote w:id="4">
    <w:p w:rsidR="00A87669" w:rsidRDefault="00A87669">
      <w:pPr>
        <w:pStyle w:val="af9"/>
      </w:pPr>
      <w:r>
        <w:rPr>
          <w:rStyle w:val="af8"/>
        </w:rPr>
        <w:footnoteRef/>
      </w:r>
      <w:r>
        <w:t xml:space="preserve"> В настоящее время з</w:t>
      </w:r>
      <w:r>
        <w:rPr>
          <w:rFonts w:cs="Times New Roman"/>
          <w:lang w:eastAsia="ru-RU"/>
        </w:rPr>
        <w:t>емельные участки с кадастровыми номерами 47:06:0000000:7688, 47:06:0407001:499, 47:06:0407001:500, 47:06:0407001:501, 47:06:0407001:636, 47:06:0407001:637, 47:06:0407001:638, 47:06:0407001:641, 47:06:0407001:642, 47:06:0407001:643, 47:06:0407001:646, 47:06:0407001:647, 47:06:0407001:648, 47:06:0407001:665, 47:06:0407001:666, 47:06:0407001:670, 47:06:0407001:676, 47:06:0407001:683 и 47:06:0407001:702 образованы путем выдела из земельного участка с кадастровым номером 47:06:0000000:7285.</w:t>
      </w:r>
    </w:p>
  </w:footnote>
  <w:footnote w:id="5">
    <w:p w:rsidR="00A87669" w:rsidRDefault="00A87669">
      <w:pPr>
        <w:pStyle w:val="af9"/>
      </w:pPr>
      <w:r>
        <w:rPr>
          <w:rStyle w:val="af8"/>
        </w:rPr>
        <w:footnoteRef/>
      </w:r>
      <w:r>
        <w:t xml:space="preserve"> До утверждения границ зоны затопления и зоны подтопления в установленном порядке данные зоны показаны на карте «Карта современного использования территории. Карта зон с особыми условиями использования территорий. Карта объектов культурного наследия» как планировочные ограничения в соответствии с письмом комитета по природным ресурсам Ленинградской области от 27.06.2022 № 02-12273/2022 (срок установления (утверждения) зоны затопления, подтопления в соответствии с графиком установления границ зон затопления, подтопления по Ленинградской области в рамках государственной программы Ленинградской области «Охрана окружающей среды Ленинградской области» в 2021 - 2022 годах – 3 квартал 2022 года).</w:t>
      </w:r>
    </w:p>
  </w:footnote>
  <w:footnote w:id="6">
    <w:p w:rsidR="00A87669" w:rsidRDefault="00A87669">
      <w:pPr>
        <w:pStyle w:val="af9"/>
      </w:pPr>
      <w:r>
        <w:rPr>
          <w:rStyle w:val="af8"/>
        </w:rPr>
        <w:footnoteRef/>
      </w:r>
      <w:r>
        <w:t xml:space="preserve"> В соответствии с постановлением Главного государственного санитарного врача Российской Федерации от 28 января 2021 года № 3 СанПиН 2.2.1/2.1.1.1200-03 действует до 01.01.2025.</w:t>
      </w:r>
    </w:p>
  </w:footnote>
  <w:footnote w:id="7">
    <w:p w:rsidR="00A87669" w:rsidRDefault="00A87669">
      <w:pPr>
        <w:pStyle w:val="af9"/>
        <w:snapToGrid w:val="0"/>
      </w:pPr>
      <w:r>
        <w:rPr>
          <w:rStyle w:val="af8"/>
        </w:rPr>
        <w:footnoteRef/>
      </w:r>
      <w:r>
        <w:t xml:space="preserve"> Согласно приложению 2.</w:t>
      </w:r>
    </w:p>
  </w:footnote>
  <w:footnote w:id="8">
    <w:p w:rsidR="00A87669" w:rsidRDefault="00A87669">
      <w:pPr>
        <w:pStyle w:val="af9"/>
        <w:snapToGrid w:val="0"/>
      </w:pPr>
      <w:r>
        <w:rPr>
          <w:rStyle w:val="af8"/>
        </w:rPr>
        <w:footnoteRef/>
      </w:r>
      <w:r>
        <w:t xml:space="preserve"> Согласно приложению 2.</w:t>
      </w:r>
    </w:p>
  </w:footnote>
  <w:footnote w:id="9">
    <w:p w:rsidR="00A87669" w:rsidRDefault="00A87669">
      <w:pPr>
        <w:pStyle w:val="af9"/>
        <w:snapToGrid w:val="0"/>
      </w:pPr>
      <w:r>
        <w:rPr>
          <w:rStyle w:val="af8"/>
        </w:rPr>
        <w:footnoteRef/>
      </w:r>
      <w:r>
        <w:t xml:space="preserve"> В соответствии с частью 2 статьи 34.1 Федерального закона от 25 июня 2002 года № 73-ФЗ «Об объектах культурного наследия (памятниках истории и культуры) народов Российской Федерации» в отношении произведений</w:t>
      </w:r>
      <w:r w:rsidRPr="00891547">
        <w:t xml:space="preserve"> </w:t>
      </w:r>
      <w:r>
        <w:t>монументального искусства защитные зоны не устанавливаются.</w:t>
      </w:r>
    </w:p>
  </w:footnote>
  <w:footnote w:id="10">
    <w:p w:rsidR="00A87669" w:rsidRDefault="00A87669">
      <w:pPr>
        <w:pStyle w:val="af9"/>
        <w:snapToGrid w:val="0"/>
      </w:pPr>
      <w:r>
        <w:rPr>
          <w:rStyle w:val="af8"/>
        </w:rPr>
        <w:footnoteRef/>
      </w:r>
      <w:r>
        <w:t xml:space="preserve"> В соответствии с частью 2 статьи 34.1 Федерального закона от 25 июня 2002 года № 73-ФЗ «Об объектах культурного наследия (памятниках истории и культуры) народов Российской Федерации» в отношении произведений</w:t>
      </w:r>
      <w:r w:rsidRPr="00891547">
        <w:t xml:space="preserve"> </w:t>
      </w:r>
      <w:r>
        <w:t>монументального искусства защитные зоны не устанавливаются.(письмо комитета по сохранению культурного наследия Ленинградской области от 11.05.2022 № 01-06-2458/2022-0-1).</w:t>
      </w:r>
    </w:p>
  </w:footnote>
  <w:footnote w:id="11">
    <w:p w:rsidR="00A87669" w:rsidRDefault="00A87669">
      <w:pPr>
        <w:pStyle w:val="af9"/>
        <w:ind w:firstLine="0"/>
      </w:pPr>
      <w:r>
        <w:rPr>
          <w:rStyle w:val="af8"/>
        </w:rPr>
        <w:footnoteRef/>
      </w:r>
      <w:r>
        <w:t xml:space="preserve"> Подключаемая нагрузка и срок ввода объектов уточняется при разработке и реализации Инвестиционной программы.</w:t>
      </w:r>
    </w:p>
  </w:footnote>
  <w:footnote w:id="12">
    <w:p w:rsidR="00A87669" w:rsidRDefault="00A87669">
      <w:pPr>
        <w:pStyle w:val="af9"/>
        <w:ind w:firstLine="0"/>
      </w:pPr>
      <w:r>
        <w:rPr>
          <w:rStyle w:val="af8"/>
        </w:rPr>
        <w:footnoteRef/>
      </w:r>
      <w:r>
        <w:t xml:space="preserve"> Подключаемая нагрузка и срок ввода объектов уточняется при разработке и реализации Инвестиционной программы.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369270"/>
    </w:sdtPr>
    <w:sdtContent>
      <w:p w:rsidR="00A87669" w:rsidRDefault="00A87669">
        <w:pPr>
          <w:pStyle w:val="afb"/>
          <w:ind w:firstLine="0"/>
          <w:jc w:val="center"/>
        </w:pPr>
        <w:r>
          <w:fldChar w:fldCharType="begin"/>
        </w:r>
        <w:r>
          <w:instrText>PAGE   \* MERGEFORMAT</w:instrText>
        </w:r>
        <w:r>
          <w:fldChar w:fldCharType="separate"/>
        </w:r>
        <w:r w:rsidR="00DF4ED8">
          <w:rPr>
            <w:noProof/>
          </w:rPr>
          <w:t>87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 w15:restartNumberingAfterBreak="0">
    <w:nsid w:val="03032DAF"/>
    <w:multiLevelType w:val="multilevel"/>
    <w:tmpl w:val="03032DA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4D467D9"/>
    <w:multiLevelType w:val="multilevel"/>
    <w:tmpl w:val="04D467D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099660B2"/>
    <w:multiLevelType w:val="multilevel"/>
    <w:tmpl w:val="099660B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0A2B389B"/>
    <w:multiLevelType w:val="multilevel"/>
    <w:tmpl w:val="0A2B389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0A370320"/>
    <w:multiLevelType w:val="multilevel"/>
    <w:tmpl w:val="0A37032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B457F21"/>
    <w:multiLevelType w:val="multilevel"/>
    <w:tmpl w:val="0B457F2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0CEA1D47"/>
    <w:multiLevelType w:val="multilevel"/>
    <w:tmpl w:val="0CEA1D4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0E130F75"/>
    <w:multiLevelType w:val="multilevel"/>
    <w:tmpl w:val="0E130F7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0EC6744A"/>
    <w:multiLevelType w:val="multilevel"/>
    <w:tmpl w:val="0EC6744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 w15:restartNumberingAfterBreak="0">
    <w:nsid w:val="10540D9C"/>
    <w:multiLevelType w:val="multilevel"/>
    <w:tmpl w:val="10540D9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10692C6B"/>
    <w:multiLevelType w:val="multilevel"/>
    <w:tmpl w:val="10692C6B"/>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12" w15:restartNumberingAfterBreak="0">
    <w:nsid w:val="14250EE0"/>
    <w:multiLevelType w:val="multilevel"/>
    <w:tmpl w:val="14250EE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182D27F3"/>
    <w:multiLevelType w:val="multilevel"/>
    <w:tmpl w:val="182D27F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18786623"/>
    <w:multiLevelType w:val="multilevel"/>
    <w:tmpl w:val="1878662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1C9E15E4"/>
    <w:multiLevelType w:val="multilevel"/>
    <w:tmpl w:val="1C9E15E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15:restartNumberingAfterBreak="0">
    <w:nsid w:val="1CB20849"/>
    <w:multiLevelType w:val="multilevel"/>
    <w:tmpl w:val="1CB20849"/>
    <w:lvl w:ilvl="0">
      <w:start w:val="1"/>
      <w:numFmt w:val="bullet"/>
      <w:lvlText w:val=""/>
      <w:lvlJc w:val="left"/>
      <w:pPr>
        <w:ind w:left="1068" w:hanging="360"/>
      </w:pPr>
      <w:rPr>
        <w:rFonts w:ascii="Symbol" w:hAnsi="Symbol"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960" w:hanging="360"/>
      </w:pPr>
      <w:rPr>
        <w:rFonts w:ascii="Wingdings" w:hAnsi="Wingdings" w:hint="default"/>
      </w:rPr>
    </w:lvl>
    <w:lvl w:ilvl="3">
      <w:start w:val="1"/>
      <w:numFmt w:val="bullet"/>
      <w:lvlText w:val=""/>
      <w:lvlJc w:val="left"/>
      <w:pPr>
        <w:ind w:left="-240" w:hanging="360"/>
      </w:pPr>
      <w:rPr>
        <w:rFonts w:ascii="Symbol" w:hAnsi="Symbol" w:hint="default"/>
      </w:rPr>
    </w:lvl>
    <w:lvl w:ilvl="4">
      <w:start w:val="1"/>
      <w:numFmt w:val="bullet"/>
      <w:lvlText w:val="o"/>
      <w:lvlJc w:val="left"/>
      <w:pPr>
        <w:ind w:left="480" w:hanging="360"/>
      </w:pPr>
      <w:rPr>
        <w:rFonts w:ascii="Courier New" w:hAnsi="Courier New" w:cs="Courier New" w:hint="default"/>
      </w:rPr>
    </w:lvl>
    <w:lvl w:ilvl="5">
      <w:start w:val="1"/>
      <w:numFmt w:val="bullet"/>
      <w:lvlText w:val=""/>
      <w:lvlJc w:val="left"/>
      <w:pPr>
        <w:ind w:left="1200" w:hanging="360"/>
      </w:pPr>
      <w:rPr>
        <w:rFonts w:ascii="Wingdings" w:hAnsi="Wingdings" w:hint="default"/>
      </w:rPr>
    </w:lvl>
    <w:lvl w:ilvl="6">
      <w:start w:val="1"/>
      <w:numFmt w:val="bullet"/>
      <w:lvlText w:val=""/>
      <w:lvlJc w:val="left"/>
      <w:pPr>
        <w:ind w:left="1920" w:hanging="360"/>
      </w:pPr>
      <w:rPr>
        <w:rFonts w:ascii="Symbol" w:hAnsi="Symbol" w:hint="default"/>
      </w:rPr>
    </w:lvl>
    <w:lvl w:ilvl="7">
      <w:start w:val="1"/>
      <w:numFmt w:val="bullet"/>
      <w:lvlText w:val="o"/>
      <w:lvlJc w:val="left"/>
      <w:pPr>
        <w:ind w:left="2640" w:hanging="360"/>
      </w:pPr>
      <w:rPr>
        <w:rFonts w:ascii="Courier New" w:hAnsi="Courier New" w:cs="Courier New" w:hint="default"/>
      </w:rPr>
    </w:lvl>
    <w:lvl w:ilvl="8">
      <w:start w:val="1"/>
      <w:numFmt w:val="bullet"/>
      <w:lvlText w:val=""/>
      <w:lvlJc w:val="left"/>
      <w:pPr>
        <w:ind w:left="3360" w:hanging="360"/>
      </w:pPr>
      <w:rPr>
        <w:rFonts w:ascii="Wingdings" w:hAnsi="Wingdings" w:hint="default"/>
      </w:rPr>
    </w:lvl>
  </w:abstractNum>
  <w:abstractNum w:abstractNumId="17" w15:restartNumberingAfterBreak="0">
    <w:nsid w:val="1D241AE5"/>
    <w:multiLevelType w:val="multilevel"/>
    <w:tmpl w:val="1D241AE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1E15498E"/>
    <w:multiLevelType w:val="multilevel"/>
    <w:tmpl w:val="1E15498E"/>
    <w:lvl w:ilvl="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1F687FFD"/>
    <w:multiLevelType w:val="multilevel"/>
    <w:tmpl w:val="1F687FFD"/>
    <w:lvl w:ilvl="0">
      <w:start w:val="1"/>
      <w:numFmt w:val="bullet"/>
      <w:lvlText w:val=""/>
      <w:lvlJc w:val="left"/>
      <w:pPr>
        <w:tabs>
          <w:tab w:val="left" w:pos="1776"/>
        </w:tabs>
        <w:ind w:left="1776" w:hanging="360"/>
      </w:pPr>
      <w:rPr>
        <w:rFonts w:ascii="Symbol" w:hAnsi="Symbol" w:hint="default"/>
      </w:rPr>
    </w:lvl>
    <w:lvl w:ilvl="1">
      <w:start w:val="1"/>
      <w:numFmt w:val="bullet"/>
      <w:lvlText w:val=""/>
      <w:lvlJc w:val="left"/>
      <w:pPr>
        <w:tabs>
          <w:tab w:val="left" w:pos="2496"/>
        </w:tabs>
        <w:ind w:left="2496" w:hanging="360"/>
      </w:pPr>
      <w:rPr>
        <w:rFonts w:ascii="Symbol" w:hAnsi="Symbol" w:hint="default"/>
      </w:rPr>
    </w:lvl>
    <w:lvl w:ilvl="2">
      <w:start w:val="1"/>
      <w:numFmt w:val="bullet"/>
      <w:lvlText w:val=""/>
      <w:lvlJc w:val="left"/>
      <w:pPr>
        <w:tabs>
          <w:tab w:val="left" w:pos="3216"/>
        </w:tabs>
        <w:ind w:left="3216" w:hanging="360"/>
      </w:pPr>
      <w:rPr>
        <w:rFonts w:ascii="Wingdings" w:hAnsi="Wingdings" w:hint="default"/>
      </w:rPr>
    </w:lvl>
    <w:lvl w:ilvl="3">
      <w:start w:val="1"/>
      <w:numFmt w:val="bullet"/>
      <w:lvlText w:val=""/>
      <w:lvlJc w:val="left"/>
      <w:pPr>
        <w:tabs>
          <w:tab w:val="left" w:pos="3936"/>
        </w:tabs>
        <w:ind w:left="3936" w:hanging="360"/>
      </w:pPr>
      <w:rPr>
        <w:rFonts w:ascii="Symbol" w:hAnsi="Symbol" w:hint="default"/>
      </w:rPr>
    </w:lvl>
    <w:lvl w:ilvl="4">
      <w:start w:val="1"/>
      <w:numFmt w:val="bullet"/>
      <w:lvlText w:val="o"/>
      <w:lvlJc w:val="left"/>
      <w:pPr>
        <w:tabs>
          <w:tab w:val="left" w:pos="4656"/>
        </w:tabs>
        <w:ind w:left="4656" w:hanging="360"/>
      </w:pPr>
      <w:rPr>
        <w:rFonts w:ascii="Courier New" w:hAnsi="Courier New" w:cs="Courier New" w:hint="default"/>
      </w:rPr>
    </w:lvl>
    <w:lvl w:ilvl="5">
      <w:start w:val="1"/>
      <w:numFmt w:val="bullet"/>
      <w:lvlText w:val=""/>
      <w:lvlJc w:val="left"/>
      <w:pPr>
        <w:tabs>
          <w:tab w:val="left" w:pos="5376"/>
        </w:tabs>
        <w:ind w:left="5376" w:hanging="360"/>
      </w:pPr>
      <w:rPr>
        <w:rFonts w:ascii="Wingdings" w:hAnsi="Wingdings" w:hint="default"/>
      </w:rPr>
    </w:lvl>
    <w:lvl w:ilvl="6">
      <w:start w:val="1"/>
      <w:numFmt w:val="bullet"/>
      <w:lvlText w:val=""/>
      <w:lvlJc w:val="left"/>
      <w:pPr>
        <w:tabs>
          <w:tab w:val="left" w:pos="6096"/>
        </w:tabs>
        <w:ind w:left="6096" w:hanging="360"/>
      </w:pPr>
      <w:rPr>
        <w:rFonts w:ascii="Symbol" w:hAnsi="Symbol" w:hint="default"/>
      </w:rPr>
    </w:lvl>
    <w:lvl w:ilvl="7">
      <w:start w:val="1"/>
      <w:numFmt w:val="bullet"/>
      <w:lvlText w:val="o"/>
      <w:lvlJc w:val="left"/>
      <w:pPr>
        <w:tabs>
          <w:tab w:val="left" w:pos="6816"/>
        </w:tabs>
        <w:ind w:left="6816" w:hanging="360"/>
      </w:pPr>
      <w:rPr>
        <w:rFonts w:ascii="Courier New" w:hAnsi="Courier New" w:cs="Courier New" w:hint="default"/>
      </w:rPr>
    </w:lvl>
    <w:lvl w:ilvl="8">
      <w:start w:val="1"/>
      <w:numFmt w:val="bullet"/>
      <w:lvlText w:val=""/>
      <w:lvlJc w:val="left"/>
      <w:pPr>
        <w:tabs>
          <w:tab w:val="left" w:pos="7536"/>
        </w:tabs>
        <w:ind w:left="7536" w:hanging="360"/>
      </w:pPr>
      <w:rPr>
        <w:rFonts w:ascii="Wingdings" w:hAnsi="Wingdings" w:hint="default"/>
      </w:rPr>
    </w:lvl>
  </w:abstractNum>
  <w:abstractNum w:abstractNumId="20" w15:restartNumberingAfterBreak="0">
    <w:nsid w:val="1FA10C23"/>
    <w:multiLevelType w:val="multilevel"/>
    <w:tmpl w:val="1FA10C2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20476E57"/>
    <w:multiLevelType w:val="multilevel"/>
    <w:tmpl w:val="20476E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04E0277"/>
    <w:multiLevelType w:val="multilevel"/>
    <w:tmpl w:val="204E027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20A46EBE"/>
    <w:multiLevelType w:val="multilevel"/>
    <w:tmpl w:val="20A46EB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20AC2875"/>
    <w:multiLevelType w:val="multilevel"/>
    <w:tmpl w:val="20AC2875"/>
    <w:lvl w:ilvl="0">
      <w:start w:val="1"/>
      <w:numFmt w:val="decimal"/>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22F9592E"/>
    <w:multiLevelType w:val="multilevel"/>
    <w:tmpl w:val="22F9592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25F5650B"/>
    <w:multiLevelType w:val="multilevel"/>
    <w:tmpl w:val="25F5650B"/>
    <w:lvl w:ilvl="0">
      <w:start w:val="1"/>
      <w:numFmt w:val="bullet"/>
      <w:pStyle w:val="S"/>
      <w:lvlText w:val=""/>
      <w:lvlJc w:val="left"/>
      <w:pPr>
        <w:tabs>
          <w:tab w:val="left" w:pos="1361"/>
        </w:tabs>
        <w:ind w:left="0" w:firstLine="1021"/>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26AC5045"/>
    <w:multiLevelType w:val="multilevel"/>
    <w:tmpl w:val="26AC5045"/>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26BB111B"/>
    <w:multiLevelType w:val="multilevel"/>
    <w:tmpl w:val="26BB111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15:restartNumberingAfterBreak="0">
    <w:nsid w:val="27E65442"/>
    <w:multiLevelType w:val="multilevel"/>
    <w:tmpl w:val="27E654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8C67093"/>
    <w:multiLevelType w:val="multilevel"/>
    <w:tmpl w:val="28C6709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298E77FF"/>
    <w:multiLevelType w:val="multilevel"/>
    <w:tmpl w:val="298E77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29A90383"/>
    <w:multiLevelType w:val="multilevel"/>
    <w:tmpl w:val="29A9038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29AE5C12"/>
    <w:multiLevelType w:val="singleLevel"/>
    <w:tmpl w:val="29AE5C12"/>
    <w:lvl w:ilvl="0">
      <w:start w:val="1"/>
      <w:numFmt w:val="decimal"/>
      <w:suff w:val="space"/>
      <w:lvlText w:val="%1."/>
      <w:lvlJc w:val="left"/>
    </w:lvl>
  </w:abstractNum>
  <w:abstractNum w:abstractNumId="34" w15:restartNumberingAfterBreak="0">
    <w:nsid w:val="2BBD2F49"/>
    <w:multiLevelType w:val="multilevel"/>
    <w:tmpl w:val="2BBD2F4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5" w15:restartNumberingAfterBreak="0">
    <w:nsid w:val="2F3E1AA3"/>
    <w:multiLevelType w:val="multilevel"/>
    <w:tmpl w:val="2F3E1AA3"/>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6" w15:restartNumberingAfterBreak="0">
    <w:nsid w:val="3568187E"/>
    <w:multiLevelType w:val="multilevel"/>
    <w:tmpl w:val="3568187E"/>
    <w:lvl w:ilvl="0">
      <w:start w:val="1"/>
      <w:numFmt w:val="decimal"/>
      <w:lvlText w:val="%1."/>
      <w:lvlJc w:val="left"/>
      <w:pPr>
        <w:tabs>
          <w:tab w:val="left" w:pos="1429"/>
        </w:tabs>
        <w:ind w:left="1429" w:hanging="360"/>
      </w:pPr>
      <w:rPr>
        <w:rFonts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37" w15:restartNumberingAfterBreak="0">
    <w:nsid w:val="391925D8"/>
    <w:multiLevelType w:val="multilevel"/>
    <w:tmpl w:val="391925D8"/>
    <w:lvl w:ilvl="0">
      <w:start w:val="1"/>
      <w:numFmt w:val="decimal"/>
      <w:lvlText w:val="%1."/>
      <w:lvlJc w:val="left"/>
      <w:pPr>
        <w:tabs>
          <w:tab w:val="left" w:pos="1429"/>
        </w:tabs>
        <w:ind w:left="1429" w:hanging="360"/>
      </w:pPr>
      <w:rPr>
        <w:rFonts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38" w15:restartNumberingAfterBreak="0">
    <w:nsid w:val="3A65041B"/>
    <w:multiLevelType w:val="multilevel"/>
    <w:tmpl w:val="3A65041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9" w15:restartNumberingAfterBreak="0">
    <w:nsid w:val="3AFB6193"/>
    <w:multiLevelType w:val="multilevel"/>
    <w:tmpl w:val="3AFB619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3CC755E1"/>
    <w:multiLevelType w:val="multilevel"/>
    <w:tmpl w:val="3CC755E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408D2224"/>
    <w:multiLevelType w:val="multilevel"/>
    <w:tmpl w:val="408D222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2" w15:restartNumberingAfterBreak="0">
    <w:nsid w:val="470A1C00"/>
    <w:multiLevelType w:val="multilevel"/>
    <w:tmpl w:val="470A1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7D15858"/>
    <w:multiLevelType w:val="multilevel"/>
    <w:tmpl w:val="47D158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4C65737E"/>
    <w:multiLevelType w:val="multilevel"/>
    <w:tmpl w:val="4C6573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4CBE68DE"/>
    <w:multiLevelType w:val="multilevel"/>
    <w:tmpl w:val="4CBE68D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4F744AC2"/>
    <w:multiLevelType w:val="multilevel"/>
    <w:tmpl w:val="4F744A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F774C6A"/>
    <w:multiLevelType w:val="multilevel"/>
    <w:tmpl w:val="4F774C6A"/>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48" w15:restartNumberingAfterBreak="0">
    <w:nsid w:val="4F9C5AC7"/>
    <w:multiLevelType w:val="multilevel"/>
    <w:tmpl w:val="4F9C5AC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9" w15:restartNumberingAfterBreak="0">
    <w:nsid w:val="53301020"/>
    <w:multiLevelType w:val="multilevel"/>
    <w:tmpl w:val="5330102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0" w15:restartNumberingAfterBreak="0">
    <w:nsid w:val="572F73B7"/>
    <w:multiLevelType w:val="multilevel"/>
    <w:tmpl w:val="572F73B7"/>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1" w15:restartNumberingAfterBreak="0">
    <w:nsid w:val="5A0C42D0"/>
    <w:multiLevelType w:val="multilevel"/>
    <w:tmpl w:val="5A0C42D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15:restartNumberingAfterBreak="0">
    <w:nsid w:val="5A484AE0"/>
    <w:multiLevelType w:val="multilevel"/>
    <w:tmpl w:val="5A484AE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3" w15:restartNumberingAfterBreak="0">
    <w:nsid w:val="5A5A6E1A"/>
    <w:multiLevelType w:val="multilevel"/>
    <w:tmpl w:val="5A5A6E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5C946CC6"/>
    <w:multiLevelType w:val="multilevel"/>
    <w:tmpl w:val="5C946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CA56490"/>
    <w:multiLevelType w:val="multilevel"/>
    <w:tmpl w:val="5CA5649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6" w15:restartNumberingAfterBreak="0">
    <w:nsid w:val="5D357AF7"/>
    <w:multiLevelType w:val="multilevel"/>
    <w:tmpl w:val="5D357AF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7" w15:restartNumberingAfterBreak="0">
    <w:nsid w:val="5DF005C6"/>
    <w:multiLevelType w:val="multilevel"/>
    <w:tmpl w:val="5DF005C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8" w15:restartNumberingAfterBreak="0">
    <w:nsid w:val="65B0524B"/>
    <w:multiLevelType w:val="multilevel"/>
    <w:tmpl w:val="65B0524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9" w15:restartNumberingAfterBreak="0">
    <w:nsid w:val="668427EB"/>
    <w:multiLevelType w:val="multilevel"/>
    <w:tmpl w:val="668427E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0" w15:restartNumberingAfterBreak="0">
    <w:nsid w:val="66AA47F2"/>
    <w:multiLevelType w:val="multilevel"/>
    <w:tmpl w:val="66AA47F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1" w15:restartNumberingAfterBreak="0">
    <w:nsid w:val="67BC75B1"/>
    <w:multiLevelType w:val="multilevel"/>
    <w:tmpl w:val="67BC75B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2" w15:restartNumberingAfterBreak="0">
    <w:nsid w:val="68792611"/>
    <w:multiLevelType w:val="multilevel"/>
    <w:tmpl w:val="6879261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3" w15:restartNumberingAfterBreak="0">
    <w:nsid w:val="693E4A70"/>
    <w:multiLevelType w:val="multilevel"/>
    <w:tmpl w:val="693E4A7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4" w15:restartNumberingAfterBreak="0">
    <w:nsid w:val="697735B9"/>
    <w:multiLevelType w:val="multilevel"/>
    <w:tmpl w:val="697735B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15:restartNumberingAfterBreak="0">
    <w:nsid w:val="6DB046FD"/>
    <w:multiLevelType w:val="multilevel"/>
    <w:tmpl w:val="6DB046F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15:restartNumberingAfterBreak="0">
    <w:nsid w:val="712A1A78"/>
    <w:multiLevelType w:val="multilevel"/>
    <w:tmpl w:val="712A1A78"/>
    <w:lvl w:ilvl="0">
      <w:start w:val="1"/>
      <w:numFmt w:val="decimal"/>
      <w:lvlText w:val="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15:restartNumberingAfterBreak="0">
    <w:nsid w:val="715B0573"/>
    <w:multiLevelType w:val="multilevel"/>
    <w:tmpl w:val="715B057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15:restartNumberingAfterBreak="0">
    <w:nsid w:val="747D3660"/>
    <w:multiLevelType w:val="multilevel"/>
    <w:tmpl w:val="747D36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9" w15:restartNumberingAfterBreak="0">
    <w:nsid w:val="75BE4F2C"/>
    <w:multiLevelType w:val="multilevel"/>
    <w:tmpl w:val="75BE4F2C"/>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0" w15:restartNumberingAfterBreak="0">
    <w:nsid w:val="77332E32"/>
    <w:multiLevelType w:val="multilevel"/>
    <w:tmpl w:val="77332E32"/>
    <w:lvl w:ilvl="0">
      <w:start w:val="1"/>
      <w:numFmt w:val="decimal"/>
      <w:pStyle w:val="2"/>
      <w:lvlText w:val="%1."/>
      <w:lvlJc w:val="left"/>
      <w:pPr>
        <w:tabs>
          <w:tab w:val="left" w:pos="1069"/>
        </w:tabs>
        <w:ind w:left="1069" w:hanging="360"/>
      </w:pPr>
      <w:rPr>
        <w:rFonts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7A666E4A"/>
    <w:multiLevelType w:val="multilevel"/>
    <w:tmpl w:val="7A666E4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2" w15:restartNumberingAfterBreak="0">
    <w:nsid w:val="7BCF0B4F"/>
    <w:multiLevelType w:val="multilevel"/>
    <w:tmpl w:val="7BCF0B4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3" w15:restartNumberingAfterBreak="0">
    <w:nsid w:val="7C1A4C1E"/>
    <w:multiLevelType w:val="multilevel"/>
    <w:tmpl w:val="7C1A4C1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4" w15:restartNumberingAfterBreak="0">
    <w:nsid w:val="7DAC13DE"/>
    <w:multiLevelType w:val="multilevel"/>
    <w:tmpl w:val="7DAC13D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5" w15:restartNumberingAfterBreak="0">
    <w:nsid w:val="7EF419B2"/>
    <w:multiLevelType w:val="multilevel"/>
    <w:tmpl w:val="7EF419B2"/>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num w:numId="1">
    <w:abstractNumId w:val="0"/>
  </w:num>
  <w:num w:numId="2">
    <w:abstractNumId w:val="70"/>
  </w:num>
  <w:num w:numId="3">
    <w:abstractNumId w:val="26"/>
  </w:num>
  <w:num w:numId="4">
    <w:abstractNumId w:val="66"/>
  </w:num>
  <w:num w:numId="5">
    <w:abstractNumId w:val="50"/>
  </w:num>
  <w:num w:numId="6">
    <w:abstractNumId w:val="75"/>
  </w:num>
  <w:num w:numId="7">
    <w:abstractNumId w:val="18"/>
  </w:num>
  <w:num w:numId="8">
    <w:abstractNumId w:val="9"/>
  </w:num>
  <w:num w:numId="9">
    <w:abstractNumId w:val="49"/>
  </w:num>
  <w:num w:numId="10">
    <w:abstractNumId w:val="7"/>
  </w:num>
  <w:num w:numId="11">
    <w:abstractNumId w:val="35"/>
  </w:num>
  <w:num w:numId="12">
    <w:abstractNumId w:val="65"/>
  </w:num>
  <w:num w:numId="13">
    <w:abstractNumId w:val="15"/>
  </w:num>
  <w:num w:numId="14">
    <w:abstractNumId w:val="57"/>
  </w:num>
  <w:num w:numId="15">
    <w:abstractNumId w:val="23"/>
  </w:num>
  <w:num w:numId="16">
    <w:abstractNumId w:val="59"/>
  </w:num>
  <w:num w:numId="17">
    <w:abstractNumId w:val="5"/>
  </w:num>
  <w:num w:numId="18">
    <w:abstractNumId w:val="14"/>
  </w:num>
  <w:num w:numId="19">
    <w:abstractNumId w:val="40"/>
  </w:num>
  <w:num w:numId="20">
    <w:abstractNumId w:val="6"/>
  </w:num>
  <w:num w:numId="21">
    <w:abstractNumId w:val="73"/>
  </w:num>
  <w:num w:numId="22">
    <w:abstractNumId w:val="71"/>
  </w:num>
  <w:num w:numId="23">
    <w:abstractNumId w:val="32"/>
  </w:num>
  <w:num w:numId="24">
    <w:abstractNumId w:val="31"/>
  </w:num>
  <w:num w:numId="25">
    <w:abstractNumId w:val="67"/>
  </w:num>
  <w:num w:numId="26">
    <w:abstractNumId w:val="68"/>
  </w:num>
  <w:num w:numId="27">
    <w:abstractNumId w:val="58"/>
  </w:num>
  <w:num w:numId="28">
    <w:abstractNumId w:val="8"/>
  </w:num>
  <w:num w:numId="29">
    <w:abstractNumId w:val="48"/>
  </w:num>
  <w:num w:numId="30">
    <w:abstractNumId w:val="52"/>
  </w:num>
  <w:num w:numId="31">
    <w:abstractNumId w:val="10"/>
  </w:num>
  <w:num w:numId="32">
    <w:abstractNumId w:val="72"/>
  </w:num>
  <w:num w:numId="33">
    <w:abstractNumId w:val="1"/>
  </w:num>
  <w:num w:numId="34">
    <w:abstractNumId w:val="43"/>
  </w:num>
  <w:num w:numId="35">
    <w:abstractNumId w:val="17"/>
  </w:num>
  <w:num w:numId="36">
    <w:abstractNumId w:val="28"/>
  </w:num>
  <w:num w:numId="37">
    <w:abstractNumId w:val="46"/>
  </w:num>
  <w:num w:numId="38">
    <w:abstractNumId w:val="63"/>
  </w:num>
  <w:num w:numId="39">
    <w:abstractNumId w:val="2"/>
  </w:num>
  <w:num w:numId="40">
    <w:abstractNumId w:val="27"/>
  </w:num>
  <w:num w:numId="41">
    <w:abstractNumId w:val="16"/>
  </w:num>
  <w:num w:numId="42">
    <w:abstractNumId w:val="24"/>
  </w:num>
  <w:num w:numId="43">
    <w:abstractNumId w:val="34"/>
  </w:num>
  <w:num w:numId="44">
    <w:abstractNumId w:val="38"/>
  </w:num>
  <w:num w:numId="45">
    <w:abstractNumId w:val="60"/>
  </w:num>
  <w:num w:numId="46">
    <w:abstractNumId w:val="42"/>
  </w:num>
  <w:num w:numId="47">
    <w:abstractNumId w:val="74"/>
  </w:num>
  <w:num w:numId="48">
    <w:abstractNumId w:val="64"/>
  </w:num>
  <w:num w:numId="49">
    <w:abstractNumId w:val="22"/>
  </w:num>
  <w:num w:numId="50">
    <w:abstractNumId w:val="62"/>
  </w:num>
  <w:num w:numId="51">
    <w:abstractNumId w:val="20"/>
  </w:num>
  <w:num w:numId="52">
    <w:abstractNumId w:val="55"/>
  </w:num>
  <w:num w:numId="53">
    <w:abstractNumId w:val="25"/>
  </w:num>
  <w:num w:numId="54">
    <w:abstractNumId w:val="3"/>
  </w:num>
  <w:num w:numId="55">
    <w:abstractNumId w:val="13"/>
  </w:num>
  <w:num w:numId="56">
    <w:abstractNumId w:val="30"/>
  </w:num>
  <w:num w:numId="57">
    <w:abstractNumId w:val="41"/>
  </w:num>
  <w:num w:numId="58">
    <w:abstractNumId w:val="51"/>
  </w:num>
  <w:num w:numId="59">
    <w:abstractNumId w:val="69"/>
  </w:num>
  <w:num w:numId="60">
    <w:abstractNumId w:val="61"/>
  </w:num>
  <w:num w:numId="61">
    <w:abstractNumId w:val="54"/>
  </w:num>
  <w:num w:numId="62">
    <w:abstractNumId w:val="21"/>
  </w:num>
  <w:num w:numId="63">
    <w:abstractNumId w:val="56"/>
  </w:num>
  <w:num w:numId="64">
    <w:abstractNumId w:val="4"/>
  </w:num>
  <w:num w:numId="65">
    <w:abstractNumId w:val="44"/>
  </w:num>
  <w:num w:numId="66">
    <w:abstractNumId w:val="12"/>
  </w:num>
  <w:num w:numId="67">
    <w:abstractNumId w:val="45"/>
  </w:num>
  <w:num w:numId="68">
    <w:abstractNumId w:val="37"/>
  </w:num>
  <w:num w:numId="69">
    <w:abstractNumId w:val="29"/>
  </w:num>
  <w:num w:numId="70">
    <w:abstractNumId w:val="53"/>
  </w:num>
  <w:num w:numId="71">
    <w:abstractNumId w:val="39"/>
  </w:num>
  <w:num w:numId="72">
    <w:abstractNumId w:val="47"/>
  </w:num>
  <w:num w:numId="73">
    <w:abstractNumId w:val="11"/>
  </w:num>
  <w:num w:numId="74">
    <w:abstractNumId w:val="36"/>
  </w:num>
  <w:num w:numId="75">
    <w:abstractNumId w:val="19"/>
  </w:num>
  <w:num w:numId="76">
    <w:abstractNumId w:val="3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2C3BAE"/>
    <w:rsid w:val="000004CE"/>
    <w:rsid w:val="00000D64"/>
    <w:rsid w:val="000018BC"/>
    <w:rsid w:val="00002564"/>
    <w:rsid w:val="00002A4E"/>
    <w:rsid w:val="00004AEA"/>
    <w:rsid w:val="00006AA4"/>
    <w:rsid w:val="00010178"/>
    <w:rsid w:val="00013A04"/>
    <w:rsid w:val="00013FEB"/>
    <w:rsid w:val="00014CFA"/>
    <w:rsid w:val="00015BC3"/>
    <w:rsid w:val="00015DF6"/>
    <w:rsid w:val="00017D9C"/>
    <w:rsid w:val="00020626"/>
    <w:rsid w:val="00021E80"/>
    <w:rsid w:val="00022E1B"/>
    <w:rsid w:val="00023EA3"/>
    <w:rsid w:val="00024A11"/>
    <w:rsid w:val="00024C0A"/>
    <w:rsid w:val="000250BD"/>
    <w:rsid w:val="00026077"/>
    <w:rsid w:val="00026128"/>
    <w:rsid w:val="000265AA"/>
    <w:rsid w:val="00026879"/>
    <w:rsid w:val="0002784A"/>
    <w:rsid w:val="00027976"/>
    <w:rsid w:val="0003299E"/>
    <w:rsid w:val="00033803"/>
    <w:rsid w:val="00033888"/>
    <w:rsid w:val="00033E7C"/>
    <w:rsid w:val="000342C0"/>
    <w:rsid w:val="0003460C"/>
    <w:rsid w:val="000352D8"/>
    <w:rsid w:val="000406C7"/>
    <w:rsid w:val="00042F89"/>
    <w:rsid w:val="00043775"/>
    <w:rsid w:val="000460CD"/>
    <w:rsid w:val="00046BB0"/>
    <w:rsid w:val="00046FFF"/>
    <w:rsid w:val="0004724F"/>
    <w:rsid w:val="0004743D"/>
    <w:rsid w:val="000503DD"/>
    <w:rsid w:val="000508CB"/>
    <w:rsid w:val="00050E82"/>
    <w:rsid w:val="00052369"/>
    <w:rsid w:val="00052A40"/>
    <w:rsid w:val="00053586"/>
    <w:rsid w:val="000541FA"/>
    <w:rsid w:val="000559EF"/>
    <w:rsid w:val="00056D45"/>
    <w:rsid w:val="000570BF"/>
    <w:rsid w:val="00060675"/>
    <w:rsid w:val="000606BB"/>
    <w:rsid w:val="00060BB1"/>
    <w:rsid w:val="00060C08"/>
    <w:rsid w:val="0006142D"/>
    <w:rsid w:val="000615AA"/>
    <w:rsid w:val="00062D1F"/>
    <w:rsid w:val="0006341E"/>
    <w:rsid w:val="00064B78"/>
    <w:rsid w:val="00066131"/>
    <w:rsid w:val="000668F5"/>
    <w:rsid w:val="000672EA"/>
    <w:rsid w:val="00067396"/>
    <w:rsid w:val="000707E9"/>
    <w:rsid w:val="000709D4"/>
    <w:rsid w:val="000713EE"/>
    <w:rsid w:val="00072791"/>
    <w:rsid w:val="00072C9D"/>
    <w:rsid w:val="000738A0"/>
    <w:rsid w:val="00073977"/>
    <w:rsid w:val="00073CF2"/>
    <w:rsid w:val="00073DBA"/>
    <w:rsid w:val="00074238"/>
    <w:rsid w:val="00074525"/>
    <w:rsid w:val="000758BE"/>
    <w:rsid w:val="00076FDF"/>
    <w:rsid w:val="00080563"/>
    <w:rsid w:val="00080BC8"/>
    <w:rsid w:val="00082B73"/>
    <w:rsid w:val="00083FDF"/>
    <w:rsid w:val="00084BB2"/>
    <w:rsid w:val="00084C81"/>
    <w:rsid w:val="000852A8"/>
    <w:rsid w:val="00085AB4"/>
    <w:rsid w:val="00086073"/>
    <w:rsid w:val="00086692"/>
    <w:rsid w:val="000879C4"/>
    <w:rsid w:val="00087B93"/>
    <w:rsid w:val="00091758"/>
    <w:rsid w:val="0009287B"/>
    <w:rsid w:val="00094F19"/>
    <w:rsid w:val="00096BFA"/>
    <w:rsid w:val="000A13E1"/>
    <w:rsid w:val="000A30CA"/>
    <w:rsid w:val="000A3988"/>
    <w:rsid w:val="000A39DA"/>
    <w:rsid w:val="000A428E"/>
    <w:rsid w:val="000A6347"/>
    <w:rsid w:val="000A65DD"/>
    <w:rsid w:val="000A678A"/>
    <w:rsid w:val="000A6987"/>
    <w:rsid w:val="000B03B1"/>
    <w:rsid w:val="000B0FBD"/>
    <w:rsid w:val="000B2067"/>
    <w:rsid w:val="000B29C5"/>
    <w:rsid w:val="000B4DBB"/>
    <w:rsid w:val="000B5338"/>
    <w:rsid w:val="000B7175"/>
    <w:rsid w:val="000B7424"/>
    <w:rsid w:val="000B7D9D"/>
    <w:rsid w:val="000C00FF"/>
    <w:rsid w:val="000C0224"/>
    <w:rsid w:val="000C0366"/>
    <w:rsid w:val="000C03BF"/>
    <w:rsid w:val="000C06C0"/>
    <w:rsid w:val="000C0A4E"/>
    <w:rsid w:val="000C140F"/>
    <w:rsid w:val="000C14AE"/>
    <w:rsid w:val="000C1BCF"/>
    <w:rsid w:val="000C1FA4"/>
    <w:rsid w:val="000C2413"/>
    <w:rsid w:val="000C28C1"/>
    <w:rsid w:val="000C2DA7"/>
    <w:rsid w:val="000C2DBE"/>
    <w:rsid w:val="000C31DF"/>
    <w:rsid w:val="000C4138"/>
    <w:rsid w:val="000C41A7"/>
    <w:rsid w:val="000C431F"/>
    <w:rsid w:val="000C4459"/>
    <w:rsid w:val="000C4854"/>
    <w:rsid w:val="000C4A72"/>
    <w:rsid w:val="000C4EAC"/>
    <w:rsid w:val="000C5FBE"/>
    <w:rsid w:val="000D0DB3"/>
    <w:rsid w:val="000D22B1"/>
    <w:rsid w:val="000D3B8F"/>
    <w:rsid w:val="000D3D5F"/>
    <w:rsid w:val="000D42D2"/>
    <w:rsid w:val="000D6416"/>
    <w:rsid w:val="000D6C9F"/>
    <w:rsid w:val="000D7C2C"/>
    <w:rsid w:val="000E005B"/>
    <w:rsid w:val="000E1789"/>
    <w:rsid w:val="000E1A3E"/>
    <w:rsid w:val="000E1A98"/>
    <w:rsid w:val="000E1F44"/>
    <w:rsid w:val="000E2160"/>
    <w:rsid w:val="000E2B28"/>
    <w:rsid w:val="000E3E18"/>
    <w:rsid w:val="000E4827"/>
    <w:rsid w:val="000F0D7B"/>
    <w:rsid w:val="000F10F8"/>
    <w:rsid w:val="000F135D"/>
    <w:rsid w:val="000F1E50"/>
    <w:rsid w:val="000F2607"/>
    <w:rsid w:val="000F27C1"/>
    <w:rsid w:val="000F31D1"/>
    <w:rsid w:val="000F420B"/>
    <w:rsid w:val="000F617E"/>
    <w:rsid w:val="000F7D5C"/>
    <w:rsid w:val="00100E42"/>
    <w:rsid w:val="0010190E"/>
    <w:rsid w:val="00101998"/>
    <w:rsid w:val="00101AED"/>
    <w:rsid w:val="0010287F"/>
    <w:rsid w:val="00102A84"/>
    <w:rsid w:val="00102D40"/>
    <w:rsid w:val="00104A3B"/>
    <w:rsid w:val="0010542A"/>
    <w:rsid w:val="001056AD"/>
    <w:rsid w:val="00106822"/>
    <w:rsid w:val="00111A33"/>
    <w:rsid w:val="0011392E"/>
    <w:rsid w:val="00113D25"/>
    <w:rsid w:val="0011409F"/>
    <w:rsid w:val="00114A64"/>
    <w:rsid w:val="00117483"/>
    <w:rsid w:val="00122E8C"/>
    <w:rsid w:val="00124269"/>
    <w:rsid w:val="00124437"/>
    <w:rsid w:val="00124588"/>
    <w:rsid w:val="00124713"/>
    <w:rsid w:val="00126CAD"/>
    <w:rsid w:val="0012795F"/>
    <w:rsid w:val="00127B5B"/>
    <w:rsid w:val="00132326"/>
    <w:rsid w:val="001331F2"/>
    <w:rsid w:val="001349A7"/>
    <w:rsid w:val="00134D34"/>
    <w:rsid w:val="00134F62"/>
    <w:rsid w:val="00135AAD"/>
    <w:rsid w:val="00137376"/>
    <w:rsid w:val="00137C39"/>
    <w:rsid w:val="001403B5"/>
    <w:rsid w:val="00141035"/>
    <w:rsid w:val="00141879"/>
    <w:rsid w:val="00141C93"/>
    <w:rsid w:val="00141E9D"/>
    <w:rsid w:val="00142337"/>
    <w:rsid w:val="00143771"/>
    <w:rsid w:val="00144720"/>
    <w:rsid w:val="00144974"/>
    <w:rsid w:val="00144ED5"/>
    <w:rsid w:val="00144F81"/>
    <w:rsid w:val="001454FD"/>
    <w:rsid w:val="0015348D"/>
    <w:rsid w:val="00154122"/>
    <w:rsid w:val="00155D18"/>
    <w:rsid w:val="00155F56"/>
    <w:rsid w:val="00156E08"/>
    <w:rsid w:val="00156E0F"/>
    <w:rsid w:val="00161135"/>
    <w:rsid w:val="00166CFA"/>
    <w:rsid w:val="0016711E"/>
    <w:rsid w:val="00172D40"/>
    <w:rsid w:val="00172E44"/>
    <w:rsid w:val="0017347A"/>
    <w:rsid w:val="00173A34"/>
    <w:rsid w:val="001748A4"/>
    <w:rsid w:val="001751E1"/>
    <w:rsid w:val="001757EE"/>
    <w:rsid w:val="0017707D"/>
    <w:rsid w:val="0018118C"/>
    <w:rsid w:val="001823BF"/>
    <w:rsid w:val="00182EE5"/>
    <w:rsid w:val="00183714"/>
    <w:rsid w:val="00183A77"/>
    <w:rsid w:val="00185113"/>
    <w:rsid w:val="00185E10"/>
    <w:rsid w:val="00187D36"/>
    <w:rsid w:val="00191268"/>
    <w:rsid w:val="0019173C"/>
    <w:rsid w:val="001928AD"/>
    <w:rsid w:val="00193F9B"/>
    <w:rsid w:val="0019405B"/>
    <w:rsid w:val="00194067"/>
    <w:rsid w:val="00194C36"/>
    <w:rsid w:val="00195750"/>
    <w:rsid w:val="0019671B"/>
    <w:rsid w:val="00197340"/>
    <w:rsid w:val="001A00C6"/>
    <w:rsid w:val="001A0B81"/>
    <w:rsid w:val="001A17E7"/>
    <w:rsid w:val="001A2108"/>
    <w:rsid w:val="001A28C1"/>
    <w:rsid w:val="001A2F35"/>
    <w:rsid w:val="001A3E8D"/>
    <w:rsid w:val="001A7C2E"/>
    <w:rsid w:val="001B15EB"/>
    <w:rsid w:val="001B16BB"/>
    <w:rsid w:val="001B3981"/>
    <w:rsid w:val="001B4C29"/>
    <w:rsid w:val="001B5568"/>
    <w:rsid w:val="001B6B26"/>
    <w:rsid w:val="001B75F7"/>
    <w:rsid w:val="001B7B50"/>
    <w:rsid w:val="001C04D9"/>
    <w:rsid w:val="001C38C9"/>
    <w:rsid w:val="001C3D59"/>
    <w:rsid w:val="001C597D"/>
    <w:rsid w:val="001C64C8"/>
    <w:rsid w:val="001C68A2"/>
    <w:rsid w:val="001C6CFB"/>
    <w:rsid w:val="001C6D1D"/>
    <w:rsid w:val="001C72F6"/>
    <w:rsid w:val="001D0CD4"/>
    <w:rsid w:val="001D30C2"/>
    <w:rsid w:val="001D3211"/>
    <w:rsid w:val="001D33B7"/>
    <w:rsid w:val="001D3593"/>
    <w:rsid w:val="001D3CC3"/>
    <w:rsid w:val="001D5082"/>
    <w:rsid w:val="001D535C"/>
    <w:rsid w:val="001D57DC"/>
    <w:rsid w:val="001D586A"/>
    <w:rsid w:val="001D5EA1"/>
    <w:rsid w:val="001D66F0"/>
    <w:rsid w:val="001D6A00"/>
    <w:rsid w:val="001E0274"/>
    <w:rsid w:val="001E0953"/>
    <w:rsid w:val="001E102D"/>
    <w:rsid w:val="001E108C"/>
    <w:rsid w:val="001E1180"/>
    <w:rsid w:val="001E1BF7"/>
    <w:rsid w:val="001E1FE9"/>
    <w:rsid w:val="001E2AAC"/>
    <w:rsid w:val="001E6C50"/>
    <w:rsid w:val="001E75A4"/>
    <w:rsid w:val="001E7985"/>
    <w:rsid w:val="001E7A1E"/>
    <w:rsid w:val="001F020E"/>
    <w:rsid w:val="001F1D81"/>
    <w:rsid w:val="001F1F77"/>
    <w:rsid w:val="001F2544"/>
    <w:rsid w:val="001F2EAC"/>
    <w:rsid w:val="001F3476"/>
    <w:rsid w:val="001F36AA"/>
    <w:rsid w:val="001F3C42"/>
    <w:rsid w:val="001F5454"/>
    <w:rsid w:val="001F6130"/>
    <w:rsid w:val="001F66D4"/>
    <w:rsid w:val="00200148"/>
    <w:rsid w:val="00203967"/>
    <w:rsid w:val="0020512A"/>
    <w:rsid w:val="0020526D"/>
    <w:rsid w:val="00205C3F"/>
    <w:rsid w:val="00206E1C"/>
    <w:rsid w:val="002073C1"/>
    <w:rsid w:val="00207BEA"/>
    <w:rsid w:val="00210065"/>
    <w:rsid w:val="002104CD"/>
    <w:rsid w:val="0021084C"/>
    <w:rsid w:val="00211522"/>
    <w:rsid w:val="002117B3"/>
    <w:rsid w:val="00211E43"/>
    <w:rsid w:val="002121CE"/>
    <w:rsid w:val="00212593"/>
    <w:rsid w:val="002129E6"/>
    <w:rsid w:val="00213554"/>
    <w:rsid w:val="002135FA"/>
    <w:rsid w:val="00213B64"/>
    <w:rsid w:val="002146EC"/>
    <w:rsid w:val="00215037"/>
    <w:rsid w:val="00215276"/>
    <w:rsid w:val="0021681F"/>
    <w:rsid w:val="0022055E"/>
    <w:rsid w:val="00220B90"/>
    <w:rsid w:val="00222127"/>
    <w:rsid w:val="00223150"/>
    <w:rsid w:val="00223937"/>
    <w:rsid w:val="0022466D"/>
    <w:rsid w:val="002247A6"/>
    <w:rsid w:val="0022622D"/>
    <w:rsid w:val="0022773C"/>
    <w:rsid w:val="00230294"/>
    <w:rsid w:val="00230485"/>
    <w:rsid w:val="00231E21"/>
    <w:rsid w:val="00232013"/>
    <w:rsid w:val="0023395A"/>
    <w:rsid w:val="002351B6"/>
    <w:rsid w:val="0023621D"/>
    <w:rsid w:val="00236367"/>
    <w:rsid w:val="00236486"/>
    <w:rsid w:val="0023668B"/>
    <w:rsid w:val="00236946"/>
    <w:rsid w:val="00236FDD"/>
    <w:rsid w:val="00240EE8"/>
    <w:rsid w:val="002415C4"/>
    <w:rsid w:val="0024242E"/>
    <w:rsid w:val="00242C91"/>
    <w:rsid w:val="00242EB6"/>
    <w:rsid w:val="002430B4"/>
    <w:rsid w:val="00243EB9"/>
    <w:rsid w:val="002442D1"/>
    <w:rsid w:val="00244470"/>
    <w:rsid w:val="00244C85"/>
    <w:rsid w:val="0024594B"/>
    <w:rsid w:val="00246161"/>
    <w:rsid w:val="00246593"/>
    <w:rsid w:val="002466AD"/>
    <w:rsid w:val="0024701F"/>
    <w:rsid w:val="00247767"/>
    <w:rsid w:val="00250ED5"/>
    <w:rsid w:val="002512F8"/>
    <w:rsid w:val="00251D89"/>
    <w:rsid w:val="00253961"/>
    <w:rsid w:val="00255121"/>
    <w:rsid w:val="002556CF"/>
    <w:rsid w:val="002566A2"/>
    <w:rsid w:val="0025699E"/>
    <w:rsid w:val="00260441"/>
    <w:rsid w:val="002609AA"/>
    <w:rsid w:val="00260DFE"/>
    <w:rsid w:val="002616F9"/>
    <w:rsid w:val="0026194B"/>
    <w:rsid w:val="00261C63"/>
    <w:rsid w:val="00261DF8"/>
    <w:rsid w:val="00262463"/>
    <w:rsid w:val="00262AD4"/>
    <w:rsid w:val="00263520"/>
    <w:rsid w:val="002639E1"/>
    <w:rsid w:val="00263AF0"/>
    <w:rsid w:val="00265991"/>
    <w:rsid w:val="002666D1"/>
    <w:rsid w:val="002667B6"/>
    <w:rsid w:val="00266AE0"/>
    <w:rsid w:val="00266CE2"/>
    <w:rsid w:val="002678D7"/>
    <w:rsid w:val="00272017"/>
    <w:rsid w:val="002737CC"/>
    <w:rsid w:val="00274816"/>
    <w:rsid w:val="00274D70"/>
    <w:rsid w:val="00275C11"/>
    <w:rsid w:val="00276670"/>
    <w:rsid w:val="00277011"/>
    <w:rsid w:val="002805EC"/>
    <w:rsid w:val="00282691"/>
    <w:rsid w:val="0028297C"/>
    <w:rsid w:val="00284982"/>
    <w:rsid w:val="00285A65"/>
    <w:rsid w:val="00285E86"/>
    <w:rsid w:val="00285FB8"/>
    <w:rsid w:val="00286174"/>
    <w:rsid w:val="00287342"/>
    <w:rsid w:val="002876FE"/>
    <w:rsid w:val="0028781B"/>
    <w:rsid w:val="00287D57"/>
    <w:rsid w:val="00290FFC"/>
    <w:rsid w:val="00291735"/>
    <w:rsid w:val="00292A6B"/>
    <w:rsid w:val="00293308"/>
    <w:rsid w:val="00293C6B"/>
    <w:rsid w:val="002944A0"/>
    <w:rsid w:val="00295FEA"/>
    <w:rsid w:val="002964EC"/>
    <w:rsid w:val="002A07AE"/>
    <w:rsid w:val="002A0B54"/>
    <w:rsid w:val="002A3BD4"/>
    <w:rsid w:val="002A3EFD"/>
    <w:rsid w:val="002A496B"/>
    <w:rsid w:val="002A4CEE"/>
    <w:rsid w:val="002A54A5"/>
    <w:rsid w:val="002A64E6"/>
    <w:rsid w:val="002A6735"/>
    <w:rsid w:val="002A711D"/>
    <w:rsid w:val="002A780F"/>
    <w:rsid w:val="002A7896"/>
    <w:rsid w:val="002B0CC1"/>
    <w:rsid w:val="002B1455"/>
    <w:rsid w:val="002B20B9"/>
    <w:rsid w:val="002B3765"/>
    <w:rsid w:val="002B381B"/>
    <w:rsid w:val="002B5E33"/>
    <w:rsid w:val="002B603A"/>
    <w:rsid w:val="002B6087"/>
    <w:rsid w:val="002B60A4"/>
    <w:rsid w:val="002B7051"/>
    <w:rsid w:val="002B75A4"/>
    <w:rsid w:val="002B77BB"/>
    <w:rsid w:val="002C0435"/>
    <w:rsid w:val="002C0597"/>
    <w:rsid w:val="002C095B"/>
    <w:rsid w:val="002C0DDF"/>
    <w:rsid w:val="002C14C5"/>
    <w:rsid w:val="002C16BA"/>
    <w:rsid w:val="002C3BAE"/>
    <w:rsid w:val="002C4079"/>
    <w:rsid w:val="002C48B5"/>
    <w:rsid w:val="002C5343"/>
    <w:rsid w:val="002C5B7B"/>
    <w:rsid w:val="002C5C2D"/>
    <w:rsid w:val="002C71FA"/>
    <w:rsid w:val="002D013E"/>
    <w:rsid w:val="002D01A7"/>
    <w:rsid w:val="002D0493"/>
    <w:rsid w:val="002D04DA"/>
    <w:rsid w:val="002D07D7"/>
    <w:rsid w:val="002D0A94"/>
    <w:rsid w:val="002D196C"/>
    <w:rsid w:val="002D1E46"/>
    <w:rsid w:val="002D2201"/>
    <w:rsid w:val="002D38EE"/>
    <w:rsid w:val="002D42EB"/>
    <w:rsid w:val="002D48B7"/>
    <w:rsid w:val="002D49AE"/>
    <w:rsid w:val="002D519C"/>
    <w:rsid w:val="002D5697"/>
    <w:rsid w:val="002D6091"/>
    <w:rsid w:val="002D6F22"/>
    <w:rsid w:val="002D730C"/>
    <w:rsid w:val="002E1395"/>
    <w:rsid w:val="002E1ABE"/>
    <w:rsid w:val="002E1AD0"/>
    <w:rsid w:val="002E1B41"/>
    <w:rsid w:val="002E1CD0"/>
    <w:rsid w:val="002E2CC9"/>
    <w:rsid w:val="002E3B1E"/>
    <w:rsid w:val="002E4513"/>
    <w:rsid w:val="002E49DE"/>
    <w:rsid w:val="002E527F"/>
    <w:rsid w:val="002E5E5F"/>
    <w:rsid w:val="002E77C2"/>
    <w:rsid w:val="002F0A00"/>
    <w:rsid w:val="002F1158"/>
    <w:rsid w:val="002F12CD"/>
    <w:rsid w:val="002F1989"/>
    <w:rsid w:val="002F1CAA"/>
    <w:rsid w:val="002F2357"/>
    <w:rsid w:val="002F41E1"/>
    <w:rsid w:val="002F51D3"/>
    <w:rsid w:val="002F5294"/>
    <w:rsid w:val="002F5AF6"/>
    <w:rsid w:val="002F5F8E"/>
    <w:rsid w:val="002F6A9A"/>
    <w:rsid w:val="002F7925"/>
    <w:rsid w:val="002F7CCF"/>
    <w:rsid w:val="002F7F52"/>
    <w:rsid w:val="00300A7D"/>
    <w:rsid w:val="00300D74"/>
    <w:rsid w:val="00301D13"/>
    <w:rsid w:val="00302C64"/>
    <w:rsid w:val="00303174"/>
    <w:rsid w:val="003062F8"/>
    <w:rsid w:val="00306773"/>
    <w:rsid w:val="00307340"/>
    <w:rsid w:val="003078BC"/>
    <w:rsid w:val="00307B86"/>
    <w:rsid w:val="00310C42"/>
    <w:rsid w:val="00311512"/>
    <w:rsid w:val="00311516"/>
    <w:rsid w:val="00311719"/>
    <w:rsid w:val="00312D06"/>
    <w:rsid w:val="00312D8E"/>
    <w:rsid w:val="00313819"/>
    <w:rsid w:val="00313E38"/>
    <w:rsid w:val="0031470D"/>
    <w:rsid w:val="003156E4"/>
    <w:rsid w:val="003165C4"/>
    <w:rsid w:val="00317AC1"/>
    <w:rsid w:val="003204B0"/>
    <w:rsid w:val="0032139E"/>
    <w:rsid w:val="00321A7C"/>
    <w:rsid w:val="00322E63"/>
    <w:rsid w:val="003235B1"/>
    <w:rsid w:val="0032362B"/>
    <w:rsid w:val="00323BF4"/>
    <w:rsid w:val="00323CDC"/>
    <w:rsid w:val="00323E75"/>
    <w:rsid w:val="0032477A"/>
    <w:rsid w:val="00324C10"/>
    <w:rsid w:val="003253EC"/>
    <w:rsid w:val="00327131"/>
    <w:rsid w:val="00330FC2"/>
    <w:rsid w:val="003317C0"/>
    <w:rsid w:val="00332AF9"/>
    <w:rsid w:val="003339CC"/>
    <w:rsid w:val="00333B91"/>
    <w:rsid w:val="003356F7"/>
    <w:rsid w:val="00335BDD"/>
    <w:rsid w:val="00340CE3"/>
    <w:rsid w:val="00341543"/>
    <w:rsid w:val="0034269B"/>
    <w:rsid w:val="0034436F"/>
    <w:rsid w:val="0034502F"/>
    <w:rsid w:val="0034694F"/>
    <w:rsid w:val="003478AE"/>
    <w:rsid w:val="00352A44"/>
    <w:rsid w:val="003537D6"/>
    <w:rsid w:val="003539C6"/>
    <w:rsid w:val="00356007"/>
    <w:rsid w:val="00357D0D"/>
    <w:rsid w:val="00360F27"/>
    <w:rsid w:val="003616EC"/>
    <w:rsid w:val="00362DE0"/>
    <w:rsid w:val="00362EA6"/>
    <w:rsid w:val="00362F9E"/>
    <w:rsid w:val="00363237"/>
    <w:rsid w:val="00364341"/>
    <w:rsid w:val="0036533E"/>
    <w:rsid w:val="00365D41"/>
    <w:rsid w:val="00366677"/>
    <w:rsid w:val="003676F3"/>
    <w:rsid w:val="00373649"/>
    <w:rsid w:val="0037364D"/>
    <w:rsid w:val="00373801"/>
    <w:rsid w:val="003747E1"/>
    <w:rsid w:val="00375440"/>
    <w:rsid w:val="0037746C"/>
    <w:rsid w:val="00381622"/>
    <w:rsid w:val="00381E28"/>
    <w:rsid w:val="00382888"/>
    <w:rsid w:val="003842B9"/>
    <w:rsid w:val="0038517E"/>
    <w:rsid w:val="0038526B"/>
    <w:rsid w:val="003852B8"/>
    <w:rsid w:val="00386587"/>
    <w:rsid w:val="003866EC"/>
    <w:rsid w:val="0038678B"/>
    <w:rsid w:val="003869B2"/>
    <w:rsid w:val="00387455"/>
    <w:rsid w:val="00387827"/>
    <w:rsid w:val="0039025F"/>
    <w:rsid w:val="003906CF"/>
    <w:rsid w:val="00390D0F"/>
    <w:rsid w:val="00391A6E"/>
    <w:rsid w:val="003934DB"/>
    <w:rsid w:val="00396D17"/>
    <w:rsid w:val="00397352"/>
    <w:rsid w:val="00397934"/>
    <w:rsid w:val="003A0247"/>
    <w:rsid w:val="003A02F3"/>
    <w:rsid w:val="003A195D"/>
    <w:rsid w:val="003A24E3"/>
    <w:rsid w:val="003A380E"/>
    <w:rsid w:val="003A3E6A"/>
    <w:rsid w:val="003A5640"/>
    <w:rsid w:val="003A5AA9"/>
    <w:rsid w:val="003A5DD4"/>
    <w:rsid w:val="003A5ED3"/>
    <w:rsid w:val="003A6592"/>
    <w:rsid w:val="003A6716"/>
    <w:rsid w:val="003A72AB"/>
    <w:rsid w:val="003A72DA"/>
    <w:rsid w:val="003A74CA"/>
    <w:rsid w:val="003A7A75"/>
    <w:rsid w:val="003B0209"/>
    <w:rsid w:val="003B057F"/>
    <w:rsid w:val="003B2CFF"/>
    <w:rsid w:val="003B3F70"/>
    <w:rsid w:val="003B529F"/>
    <w:rsid w:val="003B5E93"/>
    <w:rsid w:val="003B6297"/>
    <w:rsid w:val="003B7683"/>
    <w:rsid w:val="003B7908"/>
    <w:rsid w:val="003B7D8A"/>
    <w:rsid w:val="003C0FA3"/>
    <w:rsid w:val="003C19BE"/>
    <w:rsid w:val="003C1FBA"/>
    <w:rsid w:val="003C54C0"/>
    <w:rsid w:val="003C5771"/>
    <w:rsid w:val="003C5E46"/>
    <w:rsid w:val="003C7C35"/>
    <w:rsid w:val="003C7F75"/>
    <w:rsid w:val="003D0951"/>
    <w:rsid w:val="003D163B"/>
    <w:rsid w:val="003D1FBE"/>
    <w:rsid w:val="003D237D"/>
    <w:rsid w:val="003D27AB"/>
    <w:rsid w:val="003D3384"/>
    <w:rsid w:val="003D3E3E"/>
    <w:rsid w:val="003D44E5"/>
    <w:rsid w:val="003D5065"/>
    <w:rsid w:val="003D6312"/>
    <w:rsid w:val="003D6973"/>
    <w:rsid w:val="003D7645"/>
    <w:rsid w:val="003E0038"/>
    <w:rsid w:val="003E0236"/>
    <w:rsid w:val="003E0B45"/>
    <w:rsid w:val="003E12CE"/>
    <w:rsid w:val="003E1829"/>
    <w:rsid w:val="003E1E06"/>
    <w:rsid w:val="003E2D51"/>
    <w:rsid w:val="003E3244"/>
    <w:rsid w:val="003E343A"/>
    <w:rsid w:val="003E34BA"/>
    <w:rsid w:val="003E36B7"/>
    <w:rsid w:val="003E39F7"/>
    <w:rsid w:val="003E50C1"/>
    <w:rsid w:val="003E5329"/>
    <w:rsid w:val="003E56E3"/>
    <w:rsid w:val="003E6D4C"/>
    <w:rsid w:val="003E731C"/>
    <w:rsid w:val="003F0C15"/>
    <w:rsid w:val="003F0C75"/>
    <w:rsid w:val="003F0E40"/>
    <w:rsid w:val="003F1437"/>
    <w:rsid w:val="003F2397"/>
    <w:rsid w:val="003F291A"/>
    <w:rsid w:val="003F3437"/>
    <w:rsid w:val="003F3CF9"/>
    <w:rsid w:val="003F3E5C"/>
    <w:rsid w:val="003F4A54"/>
    <w:rsid w:val="003F4DF2"/>
    <w:rsid w:val="003F510C"/>
    <w:rsid w:val="003F5328"/>
    <w:rsid w:val="003F5B9B"/>
    <w:rsid w:val="003F5D24"/>
    <w:rsid w:val="004001EB"/>
    <w:rsid w:val="0040071D"/>
    <w:rsid w:val="004022EE"/>
    <w:rsid w:val="00402D98"/>
    <w:rsid w:val="00403500"/>
    <w:rsid w:val="00403F7C"/>
    <w:rsid w:val="004040B8"/>
    <w:rsid w:val="00405FE1"/>
    <w:rsid w:val="004078BD"/>
    <w:rsid w:val="00410458"/>
    <w:rsid w:val="00413272"/>
    <w:rsid w:val="00413ECF"/>
    <w:rsid w:val="004145B5"/>
    <w:rsid w:val="00415052"/>
    <w:rsid w:val="00415D64"/>
    <w:rsid w:val="0041740B"/>
    <w:rsid w:val="0041755E"/>
    <w:rsid w:val="004217DB"/>
    <w:rsid w:val="00422C62"/>
    <w:rsid w:val="004260E7"/>
    <w:rsid w:val="00426956"/>
    <w:rsid w:val="004314FC"/>
    <w:rsid w:val="0043233C"/>
    <w:rsid w:val="00432DEA"/>
    <w:rsid w:val="0043315C"/>
    <w:rsid w:val="00434398"/>
    <w:rsid w:val="004345FE"/>
    <w:rsid w:val="004365E8"/>
    <w:rsid w:val="00436AF9"/>
    <w:rsid w:val="00437141"/>
    <w:rsid w:val="00437296"/>
    <w:rsid w:val="00437FFD"/>
    <w:rsid w:val="004442E0"/>
    <w:rsid w:val="004445D3"/>
    <w:rsid w:val="00445BFF"/>
    <w:rsid w:val="004467A3"/>
    <w:rsid w:val="00446BAA"/>
    <w:rsid w:val="004470F8"/>
    <w:rsid w:val="00450687"/>
    <w:rsid w:val="0045267F"/>
    <w:rsid w:val="0045346A"/>
    <w:rsid w:val="00453558"/>
    <w:rsid w:val="0045448C"/>
    <w:rsid w:val="00454709"/>
    <w:rsid w:val="00456B6F"/>
    <w:rsid w:val="004574FE"/>
    <w:rsid w:val="00457565"/>
    <w:rsid w:val="00462F8A"/>
    <w:rsid w:val="0046317D"/>
    <w:rsid w:val="00463D1E"/>
    <w:rsid w:val="004648B6"/>
    <w:rsid w:val="00464A01"/>
    <w:rsid w:val="0046510A"/>
    <w:rsid w:val="004665A8"/>
    <w:rsid w:val="00466618"/>
    <w:rsid w:val="004666F6"/>
    <w:rsid w:val="00466E19"/>
    <w:rsid w:val="0046725E"/>
    <w:rsid w:val="0047073D"/>
    <w:rsid w:val="00471E23"/>
    <w:rsid w:val="0047253B"/>
    <w:rsid w:val="00472932"/>
    <w:rsid w:val="0047314B"/>
    <w:rsid w:val="00473651"/>
    <w:rsid w:val="00474702"/>
    <w:rsid w:val="00474CB0"/>
    <w:rsid w:val="00475061"/>
    <w:rsid w:val="0047523F"/>
    <w:rsid w:val="004753CF"/>
    <w:rsid w:val="0047576A"/>
    <w:rsid w:val="004765D7"/>
    <w:rsid w:val="00477DAF"/>
    <w:rsid w:val="0048039E"/>
    <w:rsid w:val="004803AF"/>
    <w:rsid w:val="0048436A"/>
    <w:rsid w:val="004848B5"/>
    <w:rsid w:val="00485B9F"/>
    <w:rsid w:val="00486205"/>
    <w:rsid w:val="00486B1E"/>
    <w:rsid w:val="004879FB"/>
    <w:rsid w:val="00487B14"/>
    <w:rsid w:val="0049114C"/>
    <w:rsid w:val="00491DDD"/>
    <w:rsid w:val="004924EA"/>
    <w:rsid w:val="00493295"/>
    <w:rsid w:val="0049343C"/>
    <w:rsid w:val="00493782"/>
    <w:rsid w:val="00494008"/>
    <w:rsid w:val="004958C5"/>
    <w:rsid w:val="00495E43"/>
    <w:rsid w:val="00496664"/>
    <w:rsid w:val="00496925"/>
    <w:rsid w:val="004A0AEF"/>
    <w:rsid w:val="004A19D5"/>
    <w:rsid w:val="004A240D"/>
    <w:rsid w:val="004A26DC"/>
    <w:rsid w:val="004A289C"/>
    <w:rsid w:val="004A33F6"/>
    <w:rsid w:val="004A38E0"/>
    <w:rsid w:val="004A3A29"/>
    <w:rsid w:val="004A3B07"/>
    <w:rsid w:val="004A3CFA"/>
    <w:rsid w:val="004A3F63"/>
    <w:rsid w:val="004A6D67"/>
    <w:rsid w:val="004A75EA"/>
    <w:rsid w:val="004B01FF"/>
    <w:rsid w:val="004B2A3C"/>
    <w:rsid w:val="004B2AAB"/>
    <w:rsid w:val="004B37F5"/>
    <w:rsid w:val="004B52EA"/>
    <w:rsid w:val="004B7098"/>
    <w:rsid w:val="004C082A"/>
    <w:rsid w:val="004C3CCF"/>
    <w:rsid w:val="004C5187"/>
    <w:rsid w:val="004C68ED"/>
    <w:rsid w:val="004C6BC1"/>
    <w:rsid w:val="004C7786"/>
    <w:rsid w:val="004D0678"/>
    <w:rsid w:val="004D0A29"/>
    <w:rsid w:val="004D115A"/>
    <w:rsid w:val="004D13DB"/>
    <w:rsid w:val="004D21C7"/>
    <w:rsid w:val="004D2A60"/>
    <w:rsid w:val="004D390D"/>
    <w:rsid w:val="004D3964"/>
    <w:rsid w:val="004D5048"/>
    <w:rsid w:val="004D6120"/>
    <w:rsid w:val="004D62C3"/>
    <w:rsid w:val="004D6912"/>
    <w:rsid w:val="004D74FE"/>
    <w:rsid w:val="004D7969"/>
    <w:rsid w:val="004E10F4"/>
    <w:rsid w:val="004E1CE9"/>
    <w:rsid w:val="004E2D80"/>
    <w:rsid w:val="004E2F2C"/>
    <w:rsid w:val="004E346B"/>
    <w:rsid w:val="004E36B8"/>
    <w:rsid w:val="004E4317"/>
    <w:rsid w:val="004E48B7"/>
    <w:rsid w:val="004E4A3F"/>
    <w:rsid w:val="004E595A"/>
    <w:rsid w:val="004E5BBE"/>
    <w:rsid w:val="004E6D8F"/>
    <w:rsid w:val="004E7FC0"/>
    <w:rsid w:val="004F0413"/>
    <w:rsid w:val="004F25EB"/>
    <w:rsid w:val="004F382F"/>
    <w:rsid w:val="004F3B56"/>
    <w:rsid w:val="004F68B6"/>
    <w:rsid w:val="004F6BBC"/>
    <w:rsid w:val="004F7916"/>
    <w:rsid w:val="00500290"/>
    <w:rsid w:val="00501FF1"/>
    <w:rsid w:val="00502622"/>
    <w:rsid w:val="00505064"/>
    <w:rsid w:val="0050523E"/>
    <w:rsid w:val="00507837"/>
    <w:rsid w:val="00507CCC"/>
    <w:rsid w:val="00507EF4"/>
    <w:rsid w:val="0051092B"/>
    <w:rsid w:val="00511875"/>
    <w:rsid w:val="005129B1"/>
    <w:rsid w:val="005136FB"/>
    <w:rsid w:val="005149D4"/>
    <w:rsid w:val="00515ED5"/>
    <w:rsid w:val="005214E9"/>
    <w:rsid w:val="005217B4"/>
    <w:rsid w:val="00521F5B"/>
    <w:rsid w:val="00523A91"/>
    <w:rsid w:val="00524A1F"/>
    <w:rsid w:val="00525ABC"/>
    <w:rsid w:val="00526020"/>
    <w:rsid w:val="00526350"/>
    <w:rsid w:val="005267EF"/>
    <w:rsid w:val="005279FC"/>
    <w:rsid w:val="00527C47"/>
    <w:rsid w:val="00527EFE"/>
    <w:rsid w:val="0053077B"/>
    <w:rsid w:val="00531279"/>
    <w:rsid w:val="00532100"/>
    <w:rsid w:val="00532349"/>
    <w:rsid w:val="00533847"/>
    <w:rsid w:val="00534802"/>
    <w:rsid w:val="00534FA4"/>
    <w:rsid w:val="00535DD0"/>
    <w:rsid w:val="00535FAC"/>
    <w:rsid w:val="005405B3"/>
    <w:rsid w:val="00541928"/>
    <w:rsid w:val="00541F2D"/>
    <w:rsid w:val="005427C5"/>
    <w:rsid w:val="00544611"/>
    <w:rsid w:val="00545DF8"/>
    <w:rsid w:val="00546BAF"/>
    <w:rsid w:val="0054723E"/>
    <w:rsid w:val="0054729F"/>
    <w:rsid w:val="0054748F"/>
    <w:rsid w:val="0055132D"/>
    <w:rsid w:val="0055155B"/>
    <w:rsid w:val="005518C0"/>
    <w:rsid w:val="005527AF"/>
    <w:rsid w:val="00552951"/>
    <w:rsid w:val="00553C47"/>
    <w:rsid w:val="00553CE3"/>
    <w:rsid w:val="0055436F"/>
    <w:rsid w:val="00560700"/>
    <w:rsid w:val="00562271"/>
    <w:rsid w:val="00562C1A"/>
    <w:rsid w:val="0056395D"/>
    <w:rsid w:val="005643F0"/>
    <w:rsid w:val="00564964"/>
    <w:rsid w:val="00565169"/>
    <w:rsid w:val="00565CB3"/>
    <w:rsid w:val="00566193"/>
    <w:rsid w:val="005670C0"/>
    <w:rsid w:val="00567238"/>
    <w:rsid w:val="00567DD1"/>
    <w:rsid w:val="00571389"/>
    <w:rsid w:val="00572648"/>
    <w:rsid w:val="005736C0"/>
    <w:rsid w:val="00573EBB"/>
    <w:rsid w:val="00574AA1"/>
    <w:rsid w:val="005751BC"/>
    <w:rsid w:val="00575384"/>
    <w:rsid w:val="00576443"/>
    <w:rsid w:val="00576BD6"/>
    <w:rsid w:val="00576EE0"/>
    <w:rsid w:val="00580F2B"/>
    <w:rsid w:val="00583378"/>
    <w:rsid w:val="005835AE"/>
    <w:rsid w:val="00585C6A"/>
    <w:rsid w:val="00586823"/>
    <w:rsid w:val="00586953"/>
    <w:rsid w:val="00590013"/>
    <w:rsid w:val="0059033C"/>
    <w:rsid w:val="005908CC"/>
    <w:rsid w:val="00591545"/>
    <w:rsid w:val="005919E3"/>
    <w:rsid w:val="005922A7"/>
    <w:rsid w:val="00592683"/>
    <w:rsid w:val="00593208"/>
    <w:rsid w:val="00595864"/>
    <w:rsid w:val="00596630"/>
    <w:rsid w:val="0059778E"/>
    <w:rsid w:val="005A01F0"/>
    <w:rsid w:val="005A04FD"/>
    <w:rsid w:val="005A3F46"/>
    <w:rsid w:val="005A46C5"/>
    <w:rsid w:val="005A4DF8"/>
    <w:rsid w:val="005A54AD"/>
    <w:rsid w:val="005A5712"/>
    <w:rsid w:val="005A5913"/>
    <w:rsid w:val="005A5BB7"/>
    <w:rsid w:val="005A6A66"/>
    <w:rsid w:val="005A7331"/>
    <w:rsid w:val="005A7F24"/>
    <w:rsid w:val="005B0014"/>
    <w:rsid w:val="005B26D8"/>
    <w:rsid w:val="005B27AD"/>
    <w:rsid w:val="005B3BC8"/>
    <w:rsid w:val="005B599E"/>
    <w:rsid w:val="005B644B"/>
    <w:rsid w:val="005B72AC"/>
    <w:rsid w:val="005C035B"/>
    <w:rsid w:val="005C10A1"/>
    <w:rsid w:val="005C234D"/>
    <w:rsid w:val="005C27B3"/>
    <w:rsid w:val="005C3922"/>
    <w:rsid w:val="005C3B88"/>
    <w:rsid w:val="005C5220"/>
    <w:rsid w:val="005C666A"/>
    <w:rsid w:val="005C73B5"/>
    <w:rsid w:val="005C7AB2"/>
    <w:rsid w:val="005C7F68"/>
    <w:rsid w:val="005D0C6F"/>
    <w:rsid w:val="005D2263"/>
    <w:rsid w:val="005D2657"/>
    <w:rsid w:val="005D2663"/>
    <w:rsid w:val="005D2A5E"/>
    <w:rsid w:val="005D38A8"/>
    <w:rsid w:val="005D4747"/>
    <w:rsid w:val="005D4F85"/>
    <w:rsid w:val="005D4FF9"/>
    <w:rsid w:val="005D7E08"/>
    <w:rsid w:val="005D7E26"/>
    <w:rsid w:val="005D7FAB"/>
    <w:rsid w:val="005E0983"/>
    <w:rsid w:val="005E0A80"/>
    <w:rsid w:val="005E1475"/>
    <w:rsid w:val="005E1CBC"/>
    <w:rsid w:val="005E2022"/>
    <w:rsid w:val="005E313A"/>
    <w:rsid w:val="005E3A86"/>
    <w:rsid w:val="005E3E3A"/>
    <w:rsid w:val="005E5579"/>
    <w:rsid w:val="005E5B8E"/>
    <w:rsid w:val="005E6231"/>
    <w:rsid w:val="005E672E"/>
    <w:rsid w:val="005E7345"/>
    <w:rsid w:val="005F00E7"/>
    <w:rsid w:val="005F02F0"/>
    <w:rsid w:val="005F107D"/>
    <w:rsid w:val="005F17AF"/>
    <w:rsid w:val="005F27BE"/>
    <w:rsid w:val="005F2A6C"/>
    <w:rsid w:val="005F31BC"/>
    <w:rsid w:val="005F41A8"/>
    <w:rsid w:val="005F48DC"/>
    <w:rsid w:val="005F4A17"/>
    <w:rsid w:val="005F6AAB"/>
    <w:rsid w:val="005F7444"/>
    <w:rsid w:val="006006BA"/>
    <w:rsid w:val="00601058"/>
    <w:rsid w:val="006014A5"/>
    <w:rsid w:val="00601F0F"/>
    <w:rsid w:val="00602180"/>
    <w:rsid w:val="006052E7"/>
    <w:rsid w:val="00605389"/>
    <w:rsid w:val="00605B69"/>
    <w:rsid w:val="006061ED"/>
    <w:rsid w:val="0060723E"/>
    <w:rsid w:val="00607BE9"/>
    <w:rsid w:val="00610D0F"/>
    <w:rsid w:val="006113A9"/>
    <w:rsid w:val="0061296B"/>
    <w:rsid w:val="006129B8"/>
    <w:rsid w:val="00612DB3"/>
    <w:rsid w:val="00613526"/>
    <w:rsid w:val="006141EE"/>
    <w:rsid w:val="00615A11"/>
    <w:rsid w:val="006172DB"/>
    <w:rsid w:val="006209E3"/>
    <w:rsid w:val="00621453"/>
    <w:rsid w:val="00624021"/>
    <w:rsid w:val="00624C7C"/>
    <w:rsid w:val="00626750"/>
    <w:rsid w:val="0062768C"/>
    <w:rsid w:val="00630303"/>
    <w:rsid w:val="00630350"/>
    <w:rsid w:val="0063091C"/>
    <w:rsid w:val="006312C9"/>
    <w:rsid w:val="0063132C"/>
    <w:rsid w:val="0063148A"/>
    <w:rsid w:val="00632BEF"/>
    <w:rsid w:val="0063324B"/>
    <w:rsid w:val="00634DCD"/>
    <w:rsid w:val="006358A5"/>
    <w:rsid w:val="00636220"/>
    <w:rsid w:val="0063626F"/>
    <w:rsid w:val="00636B57"/>
    <w:rsid w:val="0063704A"/>
    <w:rsid w:val="0063779D"/>
    <w:rsid w:val="00637CD8"/>
    <w:rsid w:val="00641F4E"/>
    <w:rsid w:val="006425C2"/>
    <w:rsid w:val="0064298E"/>
    <w:rsid w:val="00642C56"/>
    <w:rsid w:val="0064326D"/>
    <w:rsid w:val="00643682"/>
    <w:rsid w:val="006438BA"/>
    <w:rsid w:val="00643DD1"/>
    <w:rsid w:val="00645B99"/>
    <w:rsid w:val="00645C8A"/>
    <w:rsid w:val="00646219"/>
    <w:rsid w:val="00646910"/>
    <w:rsid w:val="00647120"/>
    <w:rsid w:val="0064763B"/>
    <w:rsid w:val="00647D18"/>
    <w:rsid w:val="006515B2"/>
    <w:rsid w:val="006517D7"/>
    <w:rsid w:val="00651CD4"/>
    <w:rsid w:val="006522D2"/>
    <w:rsid w:val="00652958"/>
    <w:rsid w:val="00652E43"/>
    <w:rsid w:val="00653434"/>
    <w:rsid w:val="00653F9C"/>
    <w:rsid w:val="00654E40"/>
    <w:rsid w:val="006556E9"/>
    <w:rsid w:val="00656568"/>
    <w:rsid w:val="00660641"/>
    <w:rsid w:val="00660714"/>
    <w:rsid w:val="006609DA"/>
    <w:rsid w:val="0066323F"/>
    <w:rsid w:val="00664936"/>
    <w:rsid w:val="00666324"/>
    <w:rsid w:val="006663C3"/>
    <w:rsid w:val="00670029"/>
    <w:rsid w:val="00671B8F"/>
    <w:rsid w:val="00671F61"/>
    <w:rsid w:val="00673FD0"/>
    <w:rsid w:val="00675784"/>
    <w:rsid w:val="00676007"/>
    <w:rsid w:val="00676392"/>
    <w:rsid w:val="00676641"/>
    <w:rsid w:val="00676895"/>
    <w:rsid w:val="00681083"/>
    <w:rsid w:val="006825E1"/>
    <w:rsid w:val="0068286C"/>
    <w:rsid w:val="00683488"/>
    <w:rsid w:val="0068370D"/>
    <w:rsid w:val="00683CD1"/>
    <w:rsid w:val="0068468A"/>
    <w:rsid w:val="00684A16"/>
    <w:rsid w:val="00685802"/>
    <w:rsid w:val="00686545"/>
    <w:rsid w:val="00686D77"/>
    <w:rsid w:val="00687CA9"/>
    <w:rsid w:val="00692535"/>
    <w:rsid w:val="00692B3E"/>
    <w:rsid w:val="0069425D"/>
    <w:rsid w:val="00694E0A"/>
    <w:rsid w:val="006950AF"/>
    <w:rsid w:val="00695883"/>
    <w:rsid w:val="006966C7"/>
    <w:rsid w:val="00697342"/>
    <w:rsid w:val="006A036F"/>
    <w:rsid w:val="006A0639"/>
    <w:rsid w:val="006A1142"/>
    <w:rsid w:val="006A122F"/>
    <w:rsid w:val="006A1484"/>
    <w:rsid w:val="006A1CA2"/>
    <w:rsid w:val="006A21EB"/>
    <w:rsid w:val="006A2F77"/>
    <w:rsid w:val="006A4568"/>
    <w:rsid w:val="006A70E5"/>
    <w:rsid w:val="006A7268"/>
    <w:rsid w:val="006A7281"/>
    <w:rsid w:val="006B0555"/>
    <w:rsid w:val="006B068D"/>
    <w:rsid w:val="006B072C"/>
    <w:rsid w:val="006B1097"/>
    <w:rsid w:val="006B2DA0"/>
    <w:rsid w:val="006B315B"/>
    <w:rsid w:val="006B33B0"/>
    <w:rsid w:val="006B3431"/>
    <w:rsid w:val="006B3D65"/>
    <w:rsid w:val="006B3E0C"/>
    <w:rsid w:val="006B42E5"/>
    <w:rsid w:val="006B5909"/>
    <w:rsid w:val="006B59A8"/>
    <w:rsid w:val="006B6CAC"/>
    <w:rsid w:val="006B6D9F"/>
    <w:rsid w:val="006B7EC2"/>
    <w:rsid w:val="006C1AFA"/>
    <w:rsid w:val="006C1CD7"/>
    <w:rsid w:val="006C2F39"/>
    <w:rsid w:val="006C2FAD"/>
    <w:rsid w:val="006C40D2"/>
    <w:rsid w:val="006C47FE"/>
    <w:rsid w:val="006C4959"/>
    <w:rsid w:val="006C5124"/>
    <w:rsid w:val="006C557D"/>
    <w:rsid w:val="006C5687"/>
    <w:rsid w:val="006C6616"/>
    <w:rsid w:val="006C6B6A"/>
    <w:rsid w:val="006C6EF5"/>
    <w:rsid w:val="006C770B"/>
    <w:rsid w:val="006D0292"/>
    <w:rsid w:val="006D18E5"/>
    <w:rsid w:val="006D33E6"/>
    <w:rsid w:val="006D4974"/>
    <w:rsid w:val="006D4B7B"/>
    <w:rsid w:val="006D5501"/>
    <w:rsid w:val="006D6D42"/>
    <w:rsid w:val="006D7BC2"/>
    <w:rsid w:val="006E017C"/>
    <w:rsid w:val="006E0E70"/>
    <w:rsid w:val="006E1CAB"/>
    <w:rsid w:val="006E2593"/>
    <w:rsid w:val="006E3171"/>
    <w:rsid w:val="006E31B9"/>
    <w:rsid w:val="006E322E"/>
    <w:rsid w:val="006E353B"/>
    <w:rsid w:val="006E38BB"/>
    <w:rsid w:val="006E38E7"/>
    <w:rsid w:val="006E39F8"/>
    <w:rsid w:val="006E463C"/>
    <w:rsid w:val="006E49FD"/>
    <w:rsid w:val="006E4C72"/>
    <w:rsid w:val="006E5573"/>
    <w:rsid w:val="006E68DE"/>
    <w:rsid w:val="006E6B37"/>
    <w:rsid w:val="006E74DC"/>
    <w:rsid w:val="006F0071"/>
    <w:rsid w:val="006F084F"/>
    <w:rsid w:val="006F425A"/>
    <w:rsid w:val="006F5D5A"/>
    <w:rsid w:val="006F66D8"/>
    <w:rsid w:val="006F74A6"/>
    <w:rsid w:val="00700C82"/>
    <w:rsid w:val="00700DE0"/>
    <w:rsid w:val="0070170E"/>
    <w:rsid w:val="00701926"/>
    <w:rsid w:val="00703A4C"/>
    <w:rsid w:val="00704212"/>
    <w:rsid w:val="007048C9"/>
    <w:rsid w:val="00706530"/>
    <w:rsid w:val="00706AC2"/>
    <w:rsid w:val="00706E24"/>
    <w:rsid w:val="00707B2C"/>
    <w:rsid w:val="00710542"/>
    <w:rsid w:val="0071156D"/>
    <w:rsid w:val="00711B4B"/>
    <w:rsid w:val="007136DC"/>
    <w:rsid w:val="00715B92"/>
    <w:rsid w:val="00715F8F"/>
    <w:rsid w:val="00716A3B"/>
    <w:rsid w:val="00720833"/>
    <w:rsid w:val="007249F8"/>
    <w:rsid w:val="0072647A"/>
    <w:rsid w:val="007265CF"/>
    <w:rsid w:val="00726920"/>
    <w:rsid w:val="00726B7D"/>
    <w:rsid w:val="00726FD3"/>
    <w:rsid w:val="007274E0"/>
    <w:rsid w:val="00730116"/>
    <w:rsid w:val="00730175"/>
    <w:rsid w:val="007309A1"/>
    <w:rsid w:val="00731386"/>
    <w:rsid w:val="0073239F"/>
    <w:rsid w:val="007327FA"/>
    <w:rsid w:val="00732FFA"/>
    <w:rsid w:val="00733C43"/>
    <w:rsid w:val="00734847"/>
    <w:rsid w:val="007349AC"/>
    <w:rsid w:val="007353FE"/>
    <w:rsid w:val="007360D0"/>
    <w:rsid w:val="0074054C"/>
    <w:rsid w:val="007408C3"/>
    <w:rsid w:val="00742497"/>
    <w:rsid w:val="00743972"/>
    <w:rsid w:val="00743B86"/>
    <w:rsid w:val="00745032"/>
    <w:rsid w:val="00745550"/>
    <w:rsid w:val="00750690"/>
    <w:rsid w:val="007512DE"/>
    <w:rsid w:val="00751668"/>
    <w:rsid w:val="0075774F"/>
    <w:rsid w:val="007609D1"/>
    <w:rsid w:val="007622B4"/>
    <w:rsid w:val="00762844"/>
    <w:rsid w:val="007663B3"/>
    <w:rsid w:val="00767F48"/>
    <w:rsid w:val="007701AE"/>
    <w:rsid w:val="00771219"/>
    <w:rsid w:val="00771C93"/>
    <w:rsid w:val="007737CD"/>
    <w:rsid w:val="0077403F"/>
    <w:rsid w:val="00774055"/>
    <w:rsid w:val="00775DFA"/>
    <w:rsid w:val="00776775"/>
    <w:rsid w:val="00777966"/>
    <w:rsid w:val="00780665"/>
    <w:rsid w:val="007811E5"/>
    <w:rsid w:val="007811EC"/>
    <w:rsid w:val="00782510"/>
    <w:rsid w:val="007827EB"/>
    <w:rsid w:val="00783069"/>
    <w:rsid w:val="00783673"/>
    <w:rsid w:val="007855D3"/>
    <w:rsid w:val="00785C51"/>
    <w:rsid w:val="00787721"/>
    <w:rsid w:val="00787B9C"/>
    <w:rsid w:val="00787C79"/>
    <w:rsid w:val="00790260"/>
    <w:rsid w:val="00790A80"/>
    <w:rsid w:val="00791390"/>
    <w:rsid w:val="00791962"/>
    <w:rsid w:val="00792020"/>
    <w:rsid w:val="00793924"/>
    <w:rsid w:val="0079465F"/>
    <w:rsid w:val="00794A61"/>
    <w:rsid w:val="0079513C"/>
    <w:rsid w:val="007A06DC"/>
    <w:rsid w:val="007A20AF"/>
    <w:rsid w:val="007A2902"/>
    <w:rsid w:val="007A38F4"/>
    <w:rsid w:val="007A4126"/>
    <w:rsid w:val="007A4D0B"/>
    <w:rsid w:val="007A5B3E"/>
    <w:rsid w:val="007A63CA"/>
    <w:rsid w:val="007B03B4"/>
    <w:rsid w:val="007B1E11"/>
    <w:rsid w:val="007B3322"/>
    <w:rsid w:val="007B381D"/>
    <w:rsid w:val="007B7344"/>
    <w:rsid w:val="007C016E"/>
    <w:rsid w:val="007C082F"/>
    <w:rsid w:val="007C087B"/>
    <w:rsid w:val="007C0C9E"/>
    <w:rsid w:val="007C297E"/>
    <w:rsid w:val="007C2CCC"/>
    <w:rsid w:val="007C3D21"/>
    <w:rsid w:val="007C4022"/>
    <w:rsid w:val="007C4502"/>
    <w:rsid w:val="007C59FC"/>
    <w:rsid w:val="007C76E4"/>
    <w:rsid w:val="007C7840"/>
    <w:rsid w:val="007C7F3D"/>
    <w:rsid w:val="007D0656"/>
    <w:rsid w:val="007D37B4"/>
    <w:rsid w:val="007D39B8"/>
    <w:rsid w:val="007D4809"/>
    <w:rsid w:val="007D4830"/>
    <w:rsid w:val="007D6F4E"/>
    <w:rsid w:val="007D7453"/>
    <w:rsid w:val="007D7D6D"/>
    <w:rsid w:val="007E2B81"/>
    <w:rsid w:val="007E45C7"/>
    <w:rsid w:val="007E56E0"/>
    <w:rsid w:val="007E79DA"/>
    <w:rsid w:val="007F00AC"/>
    <w:rsid w:val="007F02DB"/>
    <w:rsid w:val="007F0461"/>
    <w:rsid w:val="007F1C4E"/>
    <w:rsid w:val="007F2879"/>
    <w:rsid w:val="007F3407"/>
    <w:rsid w:val="007F37D9"/>
    <w:rsid w:val="007F38C8"/>
    <w:rsid w:val="007F42D4"/>
    <w:rsid w:val="007F4BBD"/>
    <w:rsid w:val="007F5051"/>
    <w:rsid w:val="007F53C8"/>
    <w:rsid w:val="007F5EA7"/>
    <w:rsid w:val="007F6AE5"/>
    <w:rsid w:val="007F6D78"/>
    <w:rsid w:val="007F7677"/>
    <w:rsid w:val="007F7AAB"/>
    <w:rsid w:val="007F7B7F"/>
    <w:rsid w:val="00800619"/>
    <w:rsid w:val="00800EBB"/>
    <w:rsid w:val="0080106A"/>
    <w:rsid w:val="00801100"/>
    <w:rsid w:val="00801B9F"/>
    <w:rsid w:val="00802044"/>
    <w:rsid w:val="008021C6"/>
    <w:rsid w:val="00803257"/>
    <w:rsid w:val="0080343D"/>
    <w:rsid w:val="00803B55"/>
    <w:rsid w:val="0080489D"/>
    <w:rsid w:val="00804A2D"/>
    <w:rsid w:val="00805387"/>
    <w:rsid w:val="008056FC"/>
    <w:rsid w:val="008057E7"/>
    <w:rsid w:val="0080601A"/>
    <w:rsid w:val="00806454"/>
    <w:rsid w:val="00806F18"/>
    <w:rsid w:val="008076E2"/>
    <w:rsid w:val="008109A4"/>
    <w:rsid w:val="00810EFA"/>
    <w:rsid w:val="00811C5C"/>
    <w:rsid w:val="00811EBE"/>
    <w:rsid w:val="00812E8E"/>
    <w:rsid w:val="00813B37"/>
    <w:rsid w:val="00813DAB"/>
    <w:rsid w:val="00814A8F"/>
    <w:rsid w:val="008156D7"/>
    <w:rsid w:val="00815A32"/>
    <w:rsid w:val="00816C15"/>
    <w:rsid w:val="00817D92"/>
    <w:rsid w:val="0082004D"/>
    <w:rsid w:val="00820BDE"/>
    <w:rsid w:val="00824AB1"/>
    <w:rsid w:val="00824D09"/>
    <w:rsid w:val="00825052"/>
    <w:rsid w:val="008256E2"/>
    <w:rsid w:val="00825A6A"/>
    <w:rsid w:val="0082768E"/>
    <w:rsid w:val="008279A5"/>
    <w:rsid w:val="00827FEF"/>
    <w:rsid w:val="00831CAD"/>
    <w:rsid w:val="00832BA4"/>
    <w:rsid w:val="008338D6"/>
    <w:rsid w:val="00833E84"/>
    <w:rsid w:val="00833EBE"/>
    <w:rsid w:val="00835114"/>
    <w:rsid w:val="0083523B"/>
    <w:rsid w:val="008355DD"/>
    <w:rsid w:val="00835D27"/>
    <w:rsid w:val="00840B18"/>
    <w:rsid w:val="008410BF"/>
    <w:rsid w:val="00841B44"/>
    <w:rsid w:val="00842598"/>
    <w:rsid w:val="00842F6E"/>
    <w:rsid w:val="008436E4"/>
    <w:rsid w:val="00843779"/>
    <w:rsid w:val="00843A46"/>
    <w:rsid w:val="0084418C"/>
    <w:rsid w:val="0084677F"/>
    <w:rsid w:val="008540D4"/>
    <w:rsid w:val="0085541B"/>
    <w:rsid w:val="00855C37"/>
    <w:rsid w:val="00856363"/>
    <w:rsid w:val="00856F5E"/>
    <w:rsid w:val="0085788E"/>
    <w:rsid w:val="00860DB7"/>
    <w:rsid w:val="0086271F"/>
    <w:rsid w:val="008628D7"/>
    <w:rsid w:val="00864209"/>
    <w:rsid w:val="008647BA"/>
    <w:rsid w:val="00864D67"/>
    <w:rsid w:val="0086507B"/>
    <w:rsid w:val="00865AA4"/>
    <w:rsid w:val="00866B3B"/>
    <w:rsid w:val="00867506"/>
    <w:rsid w:val="008725FF"/>
    <w:rsid w:val="008729B7"/>
    <w:rsid w:val="00872C44"/>
    <w:rsid w:val="00872E0B"/>
    <w:rsid w:val="008730E6"/>
    <w:rsid w:val="0087322C"/>
    <w:rsid w:val="00873378"/>
    <w:rsid w:val="008737F4"/>
    <w:rsid w:val="0087490B"/>
    <w:rsid w:val="0087564A"/>
    <w:rsid w:val="00876AA1"/>
    <w:rsid w:val="00876DD5"/>
    <w:rsid w:val="00877B2F"/>
    <w:rsid w:val="0088143E"/>
    <w:rsid w:val="00882125"/>
    <w:rsid w:val="00882416"/>
    <w:rsid w:val="00882B38"/>
    <w:rsid w:val="00883B3F"/>
    <w:rsid w:val="00884F35"/>
    <w:rsid w:val="00886728"/>
    <w:rsid w:val="00886BD1"/>
    <w:rsid w:val="00886BD9"/>
    <w:rsid w:val="00887492"/>
    <w:rsid w:val="00891547"/>
    <w:rsid w:val="00892409"/>
    <w:rsid w:val="008944A5"/>
    <w:rsid w:val="008948F6"/>
    <w:rsid w:val="0089630F"/>
    <w:rsid w:val="008A00EF"/>
    <w:rsid w:val="008A0155"/>
    <w:rsid w:val="008A08D0"/>
    <w:rsid w:val="008A2C92"/>
    <w:rsid w:val="008A307C"/>
    <w:rsid w:val="008A3457"/>
    <w:rsid w:val="008A3544"/>
    <w:rsid w:val="008A3CF0"/>
    <w:rsid w:val="008A4C6E"/>
    <w:rsid w:val="008A4EF3"/>
    <w:rsid w:val="008A58E8"/>
    <w:rsid w:val="008A58FC"/>
    <w:rsid w:val="008A7C1E"/>
    <w:rsid w:val="008B01F3"/>
    <w:rsid w:val="008B08A5"/>
    <w:rsid w:val="008B0DBA"/>
    <w:rsid w:val="008B1F7A"/>
    <w:rsid w:val="008B3300"/>
    <w:rsid w:val="008B37C6"/>
    <w:rsid w:val="008B43B9"/>
    <w:rsid w:val="008B5F2D"/>
    <w:rsid w:val="008B7146"/>
    <w:rsid w:val="008C0427"/>
    <w:rsid w:val="008C07AE"/>
    <w:rsid w:val="008C0841"/>
    <w:rsid w:val="008C1073"/>
    <w:rsid w:val="008C1350"/>
    <w:rsid w:val="008C150E"/>
    <w:rsid w:val="008C16A3"/>
    <w:rsid w:val="008C2038"/>
    <w:rsid w:val="008C3B46"/>
    <w:rsid w:val="008C4FA1"/>
    <w:rsid w:val="008C5D39"/>
    <w:rsid w:val="008C6B28"/>
    <w:rsid w:val="008C71C8"/>
    <w:rsid w:val="008C76F4"/>
    <w:rsid w:val="008C7CD8"/>
    <w:rsid w:val="008C7D34"/>
    <w:rsid w:val="008D0D34"/>
    <w:rsid w:val="008D152E"/>
    <w:rsid w:val="008D1CEA"/>
    <w:rsid w:val="008D1ED9"/>
    <w:rsid w:val="008D3142"/>
    <w:rsid w:val="008D4E00"/>
    <w:rsid w:val="008D573A"/>
    <w:rsid w:val="008E0776"/>
    <w:rsid w:val="008E2B1E"/>
    <w:rsid w:val="008E39F1"/>
    <w:rsid w:val="008E7203"/>
    <w:rsid w:val="008E7CDD"/>
    <w:rsid w:val="008E7E22"/>
    <w:rsid w:val="008F0386"/>
    <w:rsid w:val="008F0A08"/>
    <w:rsid w:val="008F0F22"/>
    <w:rsid w:val="008F0FD4"/>
    <w:rsid w:val="008F11D7"/>
    <w:rsid w:val="008F2167"/>
    <w:rsid w:val="008F3052"/>
    <w:rsid w:val="008F435D"/>
    <w:rsid w:val="008F534F"/>
    <w:rsid w:val="008F6084"/>
    <w:rsid w:val="008F6F3B"/>
    <w:rsid w:val="008F71CA"/>
    <w:rsid w:val="008F72AC"/>
    <w:rsid w:val="008F7FE6"/>
    <w:rsid w:val="009001D7"/>
    <w:rsid w:val="00900CDE"/>
    <w:rsid w:val="00901836"/>
    <w:rsid w:val="009023EF"/>
    <w:rsid w:val="00902557"/>
    <w:rsid w:val="009025AE"/>
    <w:rsid w:val="00903D7A"/>
    <w:rsid w:val="00904FAC"/>
    <w:rsid w:val="0090544B"/>
    <w:rsid w:val="00905CE4"/>
    <w:rsid w:val="00906AB3"/>
    <w:rsid w:val="00907670"/>
    <w:rsid w:val="009132E2"/>
    <w:rsid w:val="009138F2"/>
    <w:rsid w:val="00913BCF"/>
    <w:rsid w:val="00914060"/>
    <w:rsid w:val="00914B89"/>
    <w:rsid w:val="00914C3E"/>
    <w:rsid w:val="00914C56"/>
    <w:rsid w:val="0091588E"/>
    <w:rsid w:val="00915FC9"/>
    <w:rsid w:val="00916495"/>
    <w:rsid w:val="00917054"/>
    <w:rsid w:val="009171E9"/>
    <w:rsid w:val="00920641"/>
    <w:rsid w:val="00921180"/>
    <w:rsid w:val="009211A7"/>
    <w:rsid w:val="00922443"/>
    <w:rsid w:val="00922672"/>
    <w:rsid w:val="0092319F"/>
    <w:rsid w:val="00923591"/>
    <w:rsid w:val="009238B3"/>
    <w:rsid w:val="00925B57"/>
    <w:rsid w:val="00926410"/>
    <w:rsid w:val="0092753B"/>
    <w:rsid w:val="009312FF"/>
    <w:rsid w:val="00931C83"/>
    <w:rsid w:val="00932128"/>
    <w:rsid w:val="00932A80"/>
    <w:rsid w:val="00933698"/>
    <w:rsid w:val="00933C06"/>
    <w:rsid w:val="00936A6E"/>
    <w:rsid w:val="009403D5"/>
    <w:rsid w:val="00940691"/>
    <w:rsid w:val="009408E1"/>
    <w:rsid w:val="00941757"/>
    <w:rsid w:val="0094197B"/>
    <w:rsid w:val="00942039"/>
    <w:rsid w:val="009425CE"/>
    <w:rsid w:val="009427E5"/>
    <w:rsid w:val="00942A39"/>
    <w:rsid w:val="00943012"/>
    <w:rsid w:val="0094320B"/>
    <w:rsid w:val="009439FF"/>
    <w:rsid w:val="00944C58"/>
    <w:rsid w:val="00947651"/>
    <w:rsid w:val="009478E9"/>
    <w:rsid w:val="00947C5C"/>
    <w:rsid w:val="0095052F"/>
    <w:rsid w:val="00951E76"/>
    <w:rsid w:val="00952E1A"/>
    <w:rsid w:val="009544D8"/>
    <w:rsid w:val="009554EE"/>
    <w:rsid w:val="00955C07"/>
    <w:rsid w:val="00955F38"/>
    <w:rsid w:val="00961471"/>
    <w:rsid w:val="00962A75"/>
    <w:rsid w:val="009645F2"/>
    <w:rsid w:val="00965CD6"/>
    <w:rsid w:val="00965FE7"/>
    <w:rsid w:val="00967999"/>
    <w:rsid w:val="0097202E"/>
    <w:rsid w:val="009721F6"/>
    <w:rsid w:val="00972E16"/>
    <w:rsid w:val="00975D3B"/>
    <w:rsid w:val="00976DE9"/>
    <w:rsid w:val="00976F8B"/>
    <w:rsid w:val="00977121"/>
    <w:rsid w:val="009778E0"/>
    <w:rsid w:val="00980175"/>
    <w:rsid w:val="00980D64"/>
    <w:rsid w:val="0098254F"/>
    <w:rsid w:val="0098317F"/>
    <w:rsid w:val="00983380"/>
    <w:rsid w:val="00983A01"/>
    <w:rsid w:val="00983B5D"/>
    <w:rsid w:val="00984BED"/>
    <w:rsid w:val="009855BE"/>
    <w:rsid w:val="00986FAE"/>
    <w:rsid w:val="00987030"/>
    <w:rsid w:val="00987E1F"/>
    <w:rsid w:val="009903B1"/>
    <w:rsid w:val="00990ABE"/>
    <w:rsid w:val="00990BD8"/>
    <w:rsid w:val="00991AB5"/>
    <w:rsid w:val="0099249C"/>
    <w:rsid w:val="0099360D"/>
    <w:rsid w:val="00996585"/>
    <w:rsid w:val="00997162"/>
    <w:rsid w:val="00997612"/>
    <w:rsid w:val="00997C07"/>
    <w:rsid w:val="009A0165"/>
    <w:rsid w:val="009A14A4"/>
    <w:rsid w:val="009A1660"/>
    <w:rsid w:val="009A251C"/>
    <w:rsid w:val="009A4C39"/>
    <w:rsid w:val="009A51A7"/>
    <w:rsid w:val="009A5FB0"/>
    <w:rsid w:val="009A6698"/>
    <w:rsid w:val="009A713E"/>
    <w:rsid w:val="009B0B54"/>
    <w:rsid w:val="009B0F7B"/>
    <w:rsid w:val="009B1171"/>
    <w:rsid w:val="009B11D8"/>
    <w:rsid w:val="009B1736"/>
    <w:rsid w:val="009B2510"/>
    <w:rsid w:val="009B3144"/>
    <w:rsid w:val="009B4874"/>
    <w:rsid w:val="009B572D"/>
    <w:rsid w:val="009B5B4D"/>
    <w:rsid w:val="009B72AD"/>
    <w:rsid w:val="009B764D"/>
    <w:rsid w:val="009B7F1D"/>
    <w:rsid w:val="009C07BD"/>
    <w:rsid w:val="009C1F2F"/>
    <w:rsid w:val="009C3492"/>
    <w:rsid w:val="009C3636"/>
    <w:rsid w:val="009C4B57"/>
    <w:rsid w:val="009C50AF"/>
    <w:rsid w:val="009C5DE0"/>
    <w:rsid w:val="009C628A"/>
    <w:rsid w:val="009C7096"/>
    <w:rsid w:val="009C787C"/>
    <w:rsid w:val="009C7B8B"/>
    <w:rsid w:val="009D020D"/>
    <w:rsid w:val="009D0506"/>
    <w:rsid w:val="009D15E4"/>
    <w:rsid w:val="009D2268"/>
    <w:rsid w:val="009D3A18"/>
    <w:rsid w:val="009D4948"/>
    <w:rsid w:val="009D4A2B"/>
    <w:rsid w:val="009D6045"/>
    <w:rsid w:val="009E1F9C"/>
    <w:rsid w:val="009E2C14"/>
    <w:rsid w:val="009E312A"/>
    <w:rsid w:val="009E48D8"/>
    <w:rsid w:val="009E5166"/>
    <w:rsid w:val="009E5E49"/>
    <w:rsid w:val="009E5F1F"/>
    <w:rsid w:val="009F02E2"/>
    <w:rsid w:val="009F11E9"/>
    <w:rsid w:val="009F13AC"/>
    <w:rsid w:val="009F1550"/>
    <w:rsid w:val="009F2484"/>
    <w:rsid w:val="009F340A"/>
    <w:rsid w:val="009F41E1"/>
    <w:rsid w:val="009F4FA3"/>
    <w:rsid w:val="009F63EC"/>
    <w:rsid w:val="009F650F"/>
    <w:rsid w:val="009F65A2"/>
    <w:rsid w:val="009F6A91"/>
    <w:rsid w:val="00A01027"/>
    <w:rsid w:val="00A034A5"/>
    <w:rsid w:val="00A04942"/>
    <w:rsid w:val="00A0511B"/>
    <w:rsid w:val="00A05744"/>
    <w:rsid w:val="00A07694"/>
    <w:rsid w:val="00A07862"/>
    <w:rsid w:val="00A07F30"/>
    <w:rsid w:val="00A1081F"/>
    <w:rsid w:val="00A13185"/>
    <w:rsid w:val="00A1379E"/>
    <w:rsid w:val="00A14DB6"/>
    <w:rsid w:val="00A15473"/>
    <w:rsid w:val="00A15AB7"/>
    <w:rsid w:val="00A1616B"/>
    <w:rsid w:val="00A17007"/>
    <w:rsid w:val="00A17678"/>
    <w:rsid w:val="00A220B0"/>
    <w:rsid w:val="00A237DC"/>
    <w:rsid w:val="00A23A5D"/>
    <w:rsid w:val="00A246FA"/>
    <w:rsid w:val="00A25115"/>
    <w:rsid w:val="00A2563E"/>
    <w:rsid w:val="00A26E6B"/>
    <w:rsid w:val="00A27035"/>
    <w:rsid w:val="00A27499"/>
    <w:rsid w:val="00A31A27"/>
    <w:rsid w:val="00A31D91"/>
    <w:rsid w:val="00A322B8"/>
    <w:rsid w:val="00A326AE"/>
    <w:rsid w:val="00A32F67"/>
    <w:rsid w:val="00A33E0A"/>
    <w:rsid w:val="00A33F6D"/>
    <w:rsid w:val="00A34072"/>
    <w:rsid w:val="00A3576E"/>
    <w:rsid w:val="00A3666A"/>
    <w:rsid w:val="00A37C00"/>
    <w:rsid w:val="00A37E8D"/>
    <w:rsid w:val="00A42968"/>
    <w:rsid w:val="00A437FA"/>
    <w:rsid w:val="00A4395A"/>
    <w:rsid w:val="00A44A48"/>
    <w:rsid w:val="00A44BD7"/>
    <w:rsid w:val="00A44E86"/>
    <w:rsid w:val="00A45ADF"/>
    <w:rsid w:val="00A45D21"/>
    <w:rsid w:val="00A4677C"/>
    <w:rsid w:val="00A46C36"/>
    <w:rsid w:val="00A5175C"/>
    <w:rsid w:val="00A518A1"/>
    <w:rsid w:val="00A53105"/>
    <w:rsid w:val="00A534BC"/>
    <w:rsid w:val="00A54A06"/>
    <w:rsid w:val="00A57B09"/>
    <w:rsid w:val="00A6022F"/>
    <w:rsid w:val="00A61282"/>
    <w:rsid w:val="00A61BAD"/>
    <w:rsid w:val="00A620C1"/>
    <w:rsid w:val="00A62CD7"/>
    <w:rsid w:val="00A636E2"/>
    <w:rsid w:val="00A64005"/>
    <w:rsid w:val="00A64D2B"/>
    <w:rsid w:val="00A658B3"/>
    <w:rsid w:val="00A6640C"/>
    <w:rsid w:val="00A666ED"/>
    <w:rsid w:val="00A66F22"/>
    <w:rsid w:val="00A67DA1"/>
    <w:rsid w:val="00A70D69"/>
    <w:rsid w:val="00A72568"/>
    <w:rsid w:val="00A72C43"/>
    <w:rsid w:val="00A72F10"/>
    <w:rsid w:val="00A731E7"/>
    <w:rsid w:val="00A740FC"/>
    <w:rsid w:val="00A7432D"/>
    <w:rsid w:val="00A747B6"/>
    <w:rsid w:val="00A74AE0"/>
    <w:rsid w:val="00A7522C"/>
    <w:rsid w:val="00A7588B"/>
    <w:rsid w:val="00A75BF7"/>
    <w:rsid w:val="00A76C4A"/>
    <w:rsid w:val="00A80227"/>
    <w:rsid w:val="00A8472D"/>
    <w:rsid w:val="00A86B8A"/>
    <w:rsid w:val="00A87669"/>
    <w:rsid w:val="00A9013A"/>
    <w:rsid w:val="00A904CA"/>
    <w:rsid w:val="00A90813"/>
    <w:rsid w:val="00A92B07"/>
    <w:rsid w:val="00A92B40"/>
    <w:rsid w:val="00A93762"/>
    <w:rsid w:val="00A93DD9"/>
    <w:rsid w:val="00A9409E"/>
    <w:rsid w:val="00A9552D"/>
    <w:rsid w:val="00A9625B"/>
    <w:rsid w:val="00A973B9"/>
    <w:rsid w:val="00AA0564"/>
    <w:rsid w:val="00AA0783"/>
    <w:rsid w:val="00AA090F"/>
    <w:rsid w:val="00AA0F0C"/>
    <w:rsid w:val="00AA3325"/>
    <w:rsid w:val="00AA39B9"/>
    <w:rsid w:val="00AA40DD"/>
    <w:rsid w:val="00AA5052"/>
    <w:rsid w:val="00AA58F1"/>
    <w:rsid w:val="00AA682F"/>
    <w:rsid w:val="00AA7005"/>
    <w:rsid w:val="00AA73CE"/>
    <w:rsid w:val="00AA7511"/>
    <w:rsid w:val="00AA7D87"/>
    <w:rsid w:val="00AB283A"/>
    <w:rsid w:val="00AB29B3"/>
    <w:rsid w:val="00AB33CF"/>
    <w:rsid w:val="00AB39F2"/>
    <w:rsid w:val="00AB3B9E"/>
    <w:rsid w:val="00AB3C77"/>
    <w:rsid w:val="00AB4EEE"/>
    <w:rsid w:val="00AB65E5"/>
    <w:rsid w:val="00AB7D78"/>
    <w:rsid w:val="00AC01B7"/>
    <w:rsid w:val="00AC0A28"/>
    <w:rsid w:val="00AC1998"/>
    <w:rsid w:val="00AC4B81"/>
    <w:rsid w:val="00AC5ECD"/>
    <w:rsid w:val="00AC6756"/>
    <w:rsid w:val="00AC6DEE"/>
    <w:rsid w:val="00AC7162"/>
    <w:rsid w:val="00AD0743"/>
    <w:rsid w:val="00AD24F1"/>
    <w:rsid w:val="00AD4F35"/>
    <w:rsid w:val="00AD5955"/>
    <w:rsid w:val="00AD6A9C"/>
    <w:rsid w:val="00AE059A"/>
    <w:rsid w:val="00AE136D"/>
    <w:rsid w:val="00AE1996"/>
    <w:rsid w:val="00AE2EAC"/>
    <w:rsid w:val="00AE38EF"/>
    <w:rsid w:val="00AE58FA"/>
    <w:rsid w:val="00AE5A9B"/>
    <w:rsid w:val="00AE5DCC"/>
    <w:rsid w:val="00AE7467"/>
    <w:rsid w:val="00AF0FEB"/>
    <w:rsid w:val="00AF142D"/>
    <w:rsid w:val="00AF2225"/>
    <w:rsid w:val="00AF2987"/>
    <w:rsid w:val="00AF3807"/>
    <w:rsid w:val="00AF3FFA"/>
    <w:rsid w:val="00AF4A30"/>
    <w:rsid w:val="00AF4ACF"/>
    <w:rsid w:val="00AF4AEB"/>
    <w:rsid w:val="00AF4C2D"/>
    <w:rsid w:val="00AF5A2A"/>
    <w:rsid w:val="00AF6B29"/>
    <w:rsid w:val="00AF76DD"/>
    <w:rsid w:val="00B00682"/>
    <w:rsid w:val="00B01426"/>
    <w:rsid w:val="00B0167E"/>
    <w:rsid w:val="00B01C52"/>
    <w:rsid w:val="00B031ED"/>
    <w:rsid w:val="00B0437B"/>
    <w:rsid w:val="00B04C81"/>
    <w:rsid w:val="00B05478"/>
    <w:rsid w:val="00B054FD"/>
    <w:rsid w:val="00B06AD0"/>
    <w:rsid w:val="00B074CC"/>
    <w:rsid w:val="00B07B54"/>
    <w:rsid w:val="00B100AF"/>
    <w:rsid w:val="00B102C2"/>
    <w:rsid w:val="00B1230E"/>
    <w:rsid w:val="00B13279"/>
    <w:rsid w:val="00B1333B"/>
    <w:rsid w:val="00B135A5"/>
    <w:rsid w:val="00B147D7"/>
    <w:rsid w:val="00B15CAA"/>
    <w:rsid w:val="00B17E52"/>
    <w:rsid w:val="00B17EE8"/>
    <w:rsid w:val="00B206BF"/>
    <w:rsid w:val="00B20DAA"/>
    <w:rsid w:val="00B2135A"/>
    <w:rsid w:val="00B213F6"/>
    <w:rsid w:val="00B21F6F"/>
    <w:rsid w:val="00B22061"/>
    <w:rsid w:val="00B2543E"/>
    <w:rsid w:val="00B25B4D"/>
    <w:rsid w:val="00B26DA6"/>
    <w:rsid w:val="00B2745B"/>
    <w:rsid w:val="00B304B0"/>
    <w:rsid w:val="00B31114"/>
    <w:rsid w:val="00B3177D"/>
    <w:rsid w:val="00B3188E"/>
    <w:rsid w:val="00B3233B"/>
    <w:rsid w:val="00B338B7"/>
    <w:rsid w:val="00B342CA"/>
    <w:rsid w:val="00B34819"/>
    <w:rsid w:val="00B349C8"/>
    <w:rsid w:val="00B35356"/>
    <w:rsid w:val="00B3595B"/>
    <w:rsid w:val="00B36E1E"/>
    <w:rsid w:val="00B406E1"/>
    <w:rsid w:val="00B41079"/>
    <w:rsid w:val="00B41A14"/>
    <w:rsid w:val="00B41FEA"/>
    <w:rsid w:val="00B423D5"/>
    <w:rsid w:val="00B42613"/>
    <w:rsid w:val="00B42CE3"/>
    <w:rsid w:val="00B4383D"/>
    <w:rsid w:val="00B43FE7"/>
    <w:rsid w:val="00B451B2"/>
    <w:rsid w:val="00B45585"/>
    <w:rsid w:val="00B458B9"/>
    <w:rsid w:val="00B4599E"/>
    <w:rsid w:val="00B46838"/>
    <w:rsid w:val="00B50D98"/>
    <w:rsid w:val="00B5275C"/>
    <w:rsid w:val="00B54AE2"/>
    <w:rsid w:val="00B54C20"/>
    <w:rsid w:val="00B55475"/>
    <w:rsid w:val="00B56155"/>
    <w:rsid w:val="00B565A5"/>
    <w:rsid w:val="00B578C7"/>
    <w:rsid w:val="00B6081B"/>
    <w:rsid w:val="00B61173"/>
    <w:rsid w:val="00B6189B"/>
    <w:rsid w:val="00B61B2D"/>
    <w:rsid w:val="00B62ED7"/>
    <w:rsid w:val="00B62FD3"/>
    <w:rsid w:val="00B6434A"/>
    <w:rsid w:val="00B64A89"/>
    <w:rsid w:val="00B6680F"/>
    <w:rsid w:val="00B67ECD"/>
    <w:rsid w:val="00B723FF"/>
    <w:rsid w:val="00B72419"/>
    <w:rsid w:val="00B72438"/>
    <w:rsid w:val="00B72BA8"/>
    <w:rsid w:val="00B735A2"/>
    <w:rsid w:val="00B73C8A"/>
    <w:rsid w:val="00B73D81"/>
    <w:rsid w:val="00B74469"/>
    <w:rsid w:val="00B7495C"/>
    <w:rsid w:val="00B7556C"/>
    <w:rsid w:val="00B75BDB"/>
    <w:rsid w:val="00B76DFF"/>
    <w:rsid w:val="00B77F01"/>
    <w:rsid w:val="00B80301"/>
    <w:rsid w:val="00B803C5"/>
    <w:rsid w:val="00B80D4F"/>
    <w:rsid w:val="00B814AC"/>
    <w:rsid w:val="00B815D9"/>
    <w:rsid w:val="00B817E1"/>
    <w:rsid w:val="00B82D6B"/>
    <w:rsid w:val="00B83770"/>
    <w:rsid w:val="00B846C7"/>
    <w:rsid w:val="00B85ABE"/>
    <w:rsid w:val="00B8680E"/>
    <w:rsid w:val="00B8780A"/>
    <w:rsid w:val="00B901B3"/>
    <w:rsid w:val="00B9337F"/>
    <w:rsid w:val="00B93683"/>
    <w:rsid w:val="00B95785"/>
    <w:rsid w:val="00B95F93"/>
    <w:rsid w:val="00B9663B"/>
    <w:rsid w:val="00B97424"/>
    <w:rsid w:val="00BA0256"/>
    <w:rsid w:val="00BA04CD"/>
    <w:rsid w:val="00BA0529"/>
    <w:rsid w:val="00BA0727"/>
    <w:rsid w:val="00BA0A2B"/>
    <w:rsid w:val="00BA0A52"/>
    <w:rsid w:val="00BA0BD0"/>
    <w:rsid w:val="00BA2151"/>
    <w:rsid w:val="00BA3146"/>
    <w:rsid w:val="00BA3A31"/>
    <w:rsid w:val="00BA47FB"/>
    <w:rsid w:val="00BA6293"/>
    <w:rsid w:val="00BA6C98"/>
    <w:rsid w:val="00BA7603"/>
    <w:rsid w:val="00BA7B6A"/>
    <w:rsid w:val="00BB0971"/>
    <w:rsid w:val="00BB138A"/>
    <w:rsid w:val="00BB1E96"/>
    <w:rsid w:val="00BB25F9"/>
    <w:rsid w:val="00BB2B36"/>
    <w:rsid w:val="00BB446F"/>
    <w:rsid w:val="00BB45C8"/>
    <w:rsid w:val="00BB5178"/>
    <w:rsid w:val="00BB5D22"/>
    <w:rsid w:val="00BB6506"/>
    <w:rsid w:val="00BB6BC5"/>
    <w:rsid w:val="00BC12EC"/>
    <w:rsid w:val="00BC2432"/>
    <w:rsid w:val="00BC256F"/>
    <w:rsid w:val="00BC2965"/>
    <w:rsid w:val="00BC3CD5"/>
    <w:rsid w:val="00BC6024"/>
    <w:rsid w:val="00BC72C0"/>
    <w:rsid w:val="00BC7A87"/>
    <w:rsid w:val="00BD1FD1"/>
    <w:rsid w:val="00BD256D"/>
    <w:rsid w:val="00BD29BB"/>
    <w:rsid w:val="00BD2AEB"/>
    <w:rsid w:val="00BD3792"/>
    <w:rsid w:val="00BD3CD9"/>
    <w:rsid w:val="00BD4314"/>
    <w:rsid w:val="00BD47C1"/>
    <w:rsid w:val="00BD6E98"/>
    <w:rsid w:val="00BD7CC9"/>
    <w:rsid w:val="00BE0BDD"/>
    <w:rsid w:val="00BE0CD6"/>
    <w:rsid w:val="00BE2226"/>
    <w:rsid w:val="00BE2F88"/>
    <w:rsid w:val="00BE3355"/>
    <w:rsid w:val="00BE374F"/>
    <w:rsid w:val="00BE4B1F"/>
    <w:rsid w:val="00BE5CA1"/>
    <w:rsid w:val="00BE6019"/>
    <w:rsid w:val="00BE63CB"/>
    <w:rsid w:val="00BE7657"/>
    <w:rsid w:val="00BF17A6"/>
    <w:rsid w:val="00BF23EF"/>
    <w:rsid w:val="00BF2E83"/>
    <w:rsid w:val="00BF5126"/>
    <w:rsid w:val="00BF6797"/>
    <w:rsid w:val="00BF69AC"/>
    <w:rsid w:val="00BF7DBD"/>
    <w:rsid w:val="00C00625"/>
    <w:rsid w:val="00C00D16"/>
    <w:rsid w:val="00C01152"/>
    <w:rsid w:val="00C0230B"/>
    <w:rsid w:val="00C03AFF"/>
    <w:rsid w:val="00C0470A"/>
    <w:rsid w:val="00C05201"/>
    <w:rsid w:val="00C07812"/>
    <w:rsid w:val="00C10B08"/>
    <w:rsid w:val="00C10E5E"/>
    <w:rsid w:val="00C113F3"/>
    <w:rsid w:val="00C11E48"/>
    <w:rsid w:val="00C13251"/>
    <w:rsid w:val="00C1364C"/>
    <w:rsid w:val="00C13E69"/>
    <w:rsid w:val="00C15553"/>
    <w:rsid w:val="00C16B6D"/>
    <w:rsid w:val="00C16FEF"/>
    <w:rsid w:val="00C20205"/>
    <w:rsid w:val="00C20664"/>
    <w:rsid w:val="00C2188B"/>
    <w:rsid w:val="00C21C2E"/>
    <w:rsid w:val="00C236D9"/>
    <w:rsid w:val="00C23C73"/>
    <w:rsid w:val="00C25144"/>
    <w:rsid w:val="00C25CD6"/>
    <w:rsid w:val="00C2633F"/>
    <w:rsid w:val="00C309D3"/>
    <w:rsid w:val="00C315C0"/>
    <w:rsid w:val="00C325FE"/>
    <w:rsid w:val="00C3379A"/>
    <w:rsid w:val="00C348D9"/>
    <w:rsid w:val="00C34B0A"/>
    <w:rsid w:val="00C34D32"/>
    <w:rsid w:val="00C34D42"/>
    <w:rsid w:val="00C3635F"/>
    <w:rsid w:val="00C36497"/>
    <w:rsid w:val="00C367CD"/>
    <w:rsid w:val="00C376F7"/>
    <w:rsid w:val="00C4320C"/>
    <w:rsid w:val="00C44A57"/>
    <w:rsid w:val="00C464E0"/>
    <w:rsid w:val="00C467BE"/>
    <w:rsid w:val="00C46D6B"/>
    <w:rsid w:val="00C47862"/>
    <w:rsid w:val="00C47F82"/>
    <w:rsid w:val="00C50139"/>
    <w:rsid w:val="00C50A39"/>
    <w:rsid w:val="00C5109F"/>
    <w:rsid w:val="00C51E26"/>
    <w:rsid w:val="00C51F12"/>
    <w:rsid w:val="00C52499"/>
    <w:rsid w:val="00C52C8C"/>
    <w:rsid w:val="00C53C72"/>
    <w:rsid w:val="00C553CB"/>
    <w:rsid w:val="00C55F49"/>
    <w:rsid w:val="00C5728D"/>
    <w:rsid w:val="00C5738D"/>
    <w:rsid w:val="00C57FE6"/>
    <w:rsid w:val="00C6045E"/>
    <w:rsid w:val="00C605D0"/>
    <w:rsid w:val="00C6261C"/>
    <w:rsid w:val="00C65A39"/>
    <w:rsid w:val="00C66928"/>
    <w:rsid w:val="00C66C67"/>
    <w:rsid w:val="00C70355"/>
    <w:rsid w:val="00C708A8"/>
    <w:rsid w:val="00C708B5"/>
    <w:rsid w:val="00C719F6"/>
    <w:rsid w:val="00C720E5"/>
    <w:rsid w:val="00C72FE5"/>
    <w:rsid w:val="00C74CFE"/>
    <w:rsid w:val="00C75D9F"/>
    <w:rsid w:val="00C7615B"/>
    <w:rsid w:val="00C76376"/>
    <w:rsid w:val="00C7670E"/>
    <w:rsid w:val="00C800FD"/>
    <w:rsid w:val="00C80860"/>
    <w:rsid w:val="00C80C5A"/>
    <w:rsid w:val="00C80D72"/>
    <w:rsid w:val="00C81033"/>
    <w:rsid w:val="00C823A1"/>
    <w:rsid w:val="00C824BE"/>
    <w:rsid w:val="00C83221"/>
    <w:rsid w:val="00C838B8"/>
    <w:rsid w:val="00C839C6"/>
    <w:rsid w:val="00C845F1"/>
    <w:rsid w:val="00C848B8"/>
    <w:rsid w:val="00C86007"/>
    <w:rsid w:val="00C866DE"/>
    <w:rsid w:val="00C86F68"/>
    <w:rsid w:val="00C870F2"/>
    <w:rsid w:val="00C874DA"/>
    <w:rsid w:val="00C87AFD"/>
    <w:rsid w:val="00C90CAD"/>
    <w:rsid w:val="00C9131A"/>
    <w:rsid w:val="00C91AA9"/>
    <w:rsid w:val="00C92FAB"/>
    <w:rsid w:val="00C93F61"/>
    <w:rsid w:val="00C9427A"/>
    <w:rsid w:val="00C959CC"/>
    <w:rsid w:val="00C95B63"/>
    <w:rsid w:val="00C95BFC"/>
    <w:rsid w:val="00C9723D"/>
    <w:rsid w:val="00C973BE"/>
    <w:rsid w:val="00CA01CD"/>
    <w:rsid w:val="00CA0652"/>
    <w:rsid w:val="00CA0CE3"/>
    <w:rsid w:val="00CA10C4"/>
    <w:rsid w:val="00CA151F"/>
    <w:rsid w:val="00CA281B"/>
    <w:rsid w:val="00CA4209"/>
    <w:rsid w:val="00CA458A"/>
    <w:rsid w:val="00CA575F"/>
    <w:rsid w:val="00CA58D3"/>
    <w:rsid w:val="00CA6379"/>
    <w:rsid w:val="00CA665C"/>
    <w:rsid w:val="00CB00E9"/>
    <w:rsid w:val="00CB24DC"/>
    <w:rsid w:val="00CB29C3"/>
    <w:rsid w:val="00CB2EB5"/>
    <w:rsid w:val="00CB2EF9"/>
    <w:rsid w:val="00CB3AED"/>
    <w:rsid w:val="00CB3CA8"/>
    <w:rsid w:val="00CB510E"/>
    <w:rsid w:val="00CB679F"/>
    <w:rsid w:val="00CB76F2"/>
    <w:rsid w:val="00CC075C"/>
    <w:rsid w:val="00CC12B8"/>
    <w:rsid w:val="00CC21BB"/>
    <w:rsid w:val="00CC2468"/>
    <w:rsid w:val="00CC2FEC"/>
    <w:rsid w:val="00CC408E"/>
    <w:rsid w:val="00CC49F5"/>
    <w:rsid w:val="00CC5838"/>
    <w:rsid w:val="00CC60B9"/>
    <w:rsid w:val="00CC6FC7"/>
    <w:rsid w:val="00CC7DBE"/>
    <w:rsid w:val="00CD1BAF"/>
    <w:rsid w:val="00CD2682"/>
    <w:rsid w:val="00CD32E9"/>
    <w:rsid w:val="00CD34EC"/>
    <w:rsid w:val="00CD38EE"/>
    <w:rsid w:val="00CD4A43"/>
    <w:rsid w:val="00CD5A0D"/>
    <w:rsid w:val="00CD609D"/>
    <w:rsid w:val="00CD6AA9"/>
    <w:rsid w:val="00CD7FE6"/>
    <w:rsid w:val="00CE0827"/>
    <w:rsid w:val="00CE1096"/>
    <w:rsid w:val="00CE1151"/>
    <w:rsid w:val="00CE3C33"/>
    <w:rsid w:val="00CE4DAA"/>
    <w:rsid w:val="00CE51F4"/>
    <w:rsid w:val="00CE54BC"/>
    <w:rsid w:val="00CE55E4"/>
    <w:rsid w:val="00CE6CFB"/>
    <w:rsid w:val="00CE7C5E"/>
    <w:rsid w:val="00CF0A7E"/>
    <w:rsid w:val="00CF1990"/>
    <w:rsid w:val="00CF29EB"/>
    <w:rsid w:val="00CF30DD"/>
    <w:rsid w:val="00CF331C"/>
    <w:rsid w:val="00CF4EF6"/>
    <w:rsid w:val="00CF58C8"/>
    <w:rsid w:val="00CF62BD"/>
    <w:rsid w:val="00CF6596"/>
    <w:rsid w:val="00CF7BF8"/>
    <w:rsid w:val="00CF7D62"/>
    <w:rsid w:val="00D0056D"/>
    <w:rsid w:val="00D017F3"/>
    <w:rsid w:val="00D01DE8"/>
    <w:rsid w:val="00D024D0"/>
    <w:rsid w:val="00D042FB"/>
    <w:rsid w:val="00D04D1E"/>
    <w:rsid w:val="00D0557E"/>
    <w:rsid w:val="00D058AD"/>
    <w:rsid w:val="00D0681C"/>
    <w:rsid w:val="00D1092B"/>
    <w:rsid w:val="00D1202E"/>
    <w:rsid w:val="00D14C77"/>
    <w:rsid w:val="00D151CE"/>
    <w:rsid w:val="00D158B2"/>
    <w:rsid w:val="00D164DC"/>
    <w:rsid w:val="00D16825"/>
    <w:rsid w:val="00D17217"/>
    <w:rsid w:val="00D20E1A"/>
    <w:rsid w:val="00D2208E"/>
    <w:rsid w:val="00D2343D"/>
    <w:rsid w:val="00D24025"/>
    <w:rsid w:val="00D25397"/>
    <w:rsid w:val="00D25453"/>
    <w:rsid w:val="00D27001"/>
    <w:rsid w:val="00D2710C"/>
    <w:rsid w:val="00D278C0"/>
    <w:rsid w:val="00D300A1"/>
    <w:rsid w:val="00D30B84"/>
    <w:rsid w:val="00D317AE"/>
    <w:rsid w:val="00D322AD"/>
    <w:rsid w:val="00D34BD5"/>
    <w:rsid w:val="00D34CF7"/>
    <w:rsid w:val="00D350DF"/>
    <w:rsid w:val="00D36329"/>
    <w:rsid w:val="00D36F63"/>
    <w:rsid w:val="00D4031C"/>
    <w:rsid w:val="00D404D9"/>
    <w:rsid w:val="00D40720"/>
    <w:rsid w:val="00D408C1"/>
    <w:rsid w:val="00D419CD"/>
    <w:rsid w:val="00D41C33"/>
    <w:rsid w:val="00D42F5C"/>
    <w:rsid w:val="00D439E4"/>
    <w:rsid w:val="00D44087"/>
    <w:rsid w:val="00D4490A"/>
    <w:rsid w:val="00D45D86"/>
    <w:rsid w:val="00D46423"/>
    <w:rsid w:val="00D471BC"/>
    <w:rsid w:val="00D5026E"/>
    <w:rsid w:val="00D503D5"/>
    <w:rsid w:val="00D52B36"/>
    <w:rsid w:val="00D5378F"/>
    <w:rsid w:val="00D54967"/>
    <w:rsid w:val="00D557CB"/>
    <w:rsid w:val="00D5617E"/>
    <w:rsid w:val="00D56EC5"/>
    <w:rsid w:val="00D5759C"/>
    <w:rsid w:val="00D60365"/>
    <w:rsid w:val="00D6055C"/>
    <w:rsid w:val="00D612C2"/>
    <w:rsid w:val="00D61371"/>
    <w:rsid w:val="00D61E62"/>
    <w:rsid w:val="00D61F22"/>
    <w:rsid w:val="00D62C18"/>
    <w:rsid w:val="00D63177"/>
    <w:rsid w:val="00D6382D"/>
    <w:rsid w:val="00D638EE"/>
    <w:rsid w:val="00D64645"/>
    <w:rsid w:val="00D64EB8"/>
    <w:rsid w:val="00D659E3"/>
    <w:rsid w:val="00D65FEF"/>
    <w:rsid w:val="00D669F5"/>
    <w:rsid w:val="00D67179"/>
    <w:rsid w:val="00D73860"/>
    <w:rsid w:val="00D73F7E"/>
    <w:rsid w:val="00D76329"/>
    <w:rsid w:val="00D76967"/>
    <w:rsid w:val="00D76D21"/>
    <w:rsid w:val="00D77793"/>
    <w:rsid w:val="00D7791E"/>
    <w:rsid w:val="00D77EB5"/>
    <w:rsid w:val="00D82283"/>
    <w:rsid w:val="00D8354D"/>
    <w:rsid w:val="00D85E35"/>
    <w:rsid w:val="00D87C89"/>
    <w:rsid w:val="00D92237"/>
    <w:rsid w:val="00D92407"/>
    <w:rsid w:val="00D92AA1"/>
    <w:rsid w:val="00D92B30"/>
    <w:rsid w:val="00D94079"/>
    <w:rsid w:val="00D955BE"/>
    <w:rsid w:val="00D95CDE"/>
    <w:rsid w:val="00D96250"/>
    <w:rsid w:val="00D962B3"/>
    <w:rsid w:val="00D97206"/>
    <w:rsid w:val="00D97C02"/>
    <w:rsid w:val="00D97C35"/>
    <w:rsid w:val="00DA0AEE"/>
    <w:rsid w:val="00DA262B"/>
    <w:rsid w:val="00DA3997"/>
    <w:rsid w:val="00DA422D"/>
    <w:rsid w:val="00DA4F1B"/>
    <w:rsid w:val="00DA5DB1"/>
    <w:rsid w:val="00DA721F"/>
    <w:rsid w:val="00DA7D78"/>
    <w:rsid w:val="00DA7F66"/>
    <w:rsid w:val="00DB2003"/>
    <w:rsid w:val="00DB2B74"/>
    <w:rsid w:val="00DB34E4"/>
    <w:rsid w:val="00DB5F6F"/>
    <w:rsid w:val="00DB6C41"/>
    <w:rsid w:val="00DB7D99"/>
    <w:rsid w:val="00DC21EB"/>
    <w:rsid w:val="00DC26B9"/>
    <w:rsid w:val="00DC2D4C"/>
    <w:rsid w:val="00DC31F8"/>
    <w:rsid w:val="00DC7464"/>
    <w:rsid w:val="00DC778A"/>
    <w:rsid w:val="00DC7B4B"/>
    <w:rsid w:val="00DC7BA0"/>
    <w:rsid w:val="00DD3ADF"/>
    <w:rsid w:val="00DD41CB"/>
    <w:rsid w:val="00DD60D3"/>
    <w:rsid w:val="00DD6521"/>
    <w:rsid w:val="00DE0828"/>
    <w:rsid w:val="00DE0909"/>
    <w:rsid w:val="00DE3B56"/>
    <w:rsid w:val="00DE3BEA"/>
    <w:rsid w:val="00DE44FE"/>
    <w:rsid w:val="00DE5B5D"/>
    <w:rsid w:val="00DE6C9B"/>
    <w:rsid w:val="00DE78C8"/>
    <w:rsid w:val="00DE7E4D"/>
    <w:rsid w:val="00DF2265"/>
    <w:rsid w:val="00DF4A57"/>
    <w:rsid w:val="00DF4ED8"/>
    <w:rsid w:val="00DF6612"/>
    <w:rsid w:val="00DF6B19"/>
    <w:rsid w:val="00DF7B44"/>
    <w:rsid w:val="00E01254"/>
    <w:rsid w:val="00E01436"/>
    <w:rsid w:val="00E0160D"/>
    <w:rsid w:val="00E0287C"/>
    <w:rsid w:val="00E02FC1"/>
    <w:rsid w:val="00E05875"/>
    <w:rsid w:val="00E05F5C"/>
    <w:rsid w:val="00E06281"/>
    <w:rsid w:val="00E07C65"/>
    <w:rsid w:val="00E100BC"/>
    <w:rsid w:val="00E115E7"/>
    <w:rsid w:val="00E12FBB"/>
    <w:rsid w:val="00E13A64"/>
    <w:rsid w:val="00E13D4F"/>
    <w:rsid w:val="00E16642"/>
    <w:rsid w:val="00E16968"/>
    <w:rsid w:val="00E16CE5"/>
    <w:rsid w:val="00E20352"/>
    <w:rsid w:val="00E21C84"/>
    <w:rsid w:val="00E2334A"/>
    <w:rsid w:val="00E240D5"/>
    <w:rsid w:val="00E24320"/>
    <w:rsid w:val="00E2650B"/>
    <w:rsid w:val="00E26605"/>
    <w:rsid w:val="00E26684"/>
    <w:rsid w:val="00E26753"/>
    <w:rsid w:val="00E3225F"/>
    <w:rsid w:val="00E32D00"/>
    <w:rsid w:val="00E343E4"/>
    <w:rsid w:val="00E367E2"/>
    <w:rsid w:val="00E36AE9"/>
    <w:rsid w:val="00E37C35"/>
    <w:rsid w:val="00E406E6"/>
    <w:rsid w:val="00E40ED2"/>
    <w:rsid w:val="00E40F9D"/>
    <w:rsid w:val="00E41132"/>
    <w:rsid w:val="00E414DE"/>
    <w:rsid w:val="00E428A7"/>
    <w:rsid w:val="00E42B8F"/>
    <w:rsid w:val="00E436B0"/>
    <w:rsid w:val="00E46063"/>
    <w:rsid w:val="00E46D62"/>
    <w:rsid w:val="00E47D2D"/>
    <w:rsid w:val="00E514AA"/>
    <w:rsid w:val="00E51779"/>
    <w:rsid w:val="00E52970"/>
    <w:rsid w:val="00E55903"/>
    <w:rsid w:val="00E55B45"/>
    <w:rsid w:val="00E56FB0"/>
    <w:rsid w:val="00E57213"/>
    <w:rsid w:val="00E57956"/>
    <w:rsid w:val="00E6014C"/>
    <w:rsid w:val="00E60346"/>
    <w:rsid w:val="00E63B27"/>
    <w:rsid w:val="00E640DE"/>
    <w:rsid w:val="00E649C4"/>
    <w:rsid w:val="00E654AB"/>
    <w:rsid w:val="00E6610D"/>
    <w:rsid w:val="00E663F3"/>
    <w:rsid w:val="00E671E3"/>
    <w:rsid w:val="00E6770B"/>
    <w:rsid w:val="00E677D2"/>
    <w:rsid w:val="00E679EC"/>
    <w:rsid w:val="00E702D8"/>
    <w:rsid w:val="00E71449"/>
    <w:rsid w:val="00E7230A"/>
    <w:rsid w:val="00E73291"/>
    <w:rsid w:val="00E755C8"/>
    <w:rsid w:val="00E76408"/>
    <w:rsid w:val="00E76C21"/>
    <w:rsid w:val="00E76C66"/>
    <w:rsid w:val="00E8043E"/>
    <w:rsid w:val="00E8055B"/>
    <w:rsid w:val="00E810CE"/>
    <w:rsid w:val="00E815FD"/>
    <w:rsid w:val="00E81B6B"/>
    <w:rsid w:val="00E82DDC"/>
    <w:rsid w:val="00E82E05"/>
    <w:rsid w:val="00E839A0"/>
    <w:rsid w:val="00E849DC"/>
    <w:rsid w:val="00E8511E"/>
    <w:rsid w:val="00E8656A"/>
    <w:rsid w:val="00E87913"/>
    <w:rsid w:val="00E9088E"/>
    <w:rsid w:val="00E90DB8"/>
    <w:rsid w:val="00E90E51"/>
    <w:rsid w:val="00E911FB"/>
    <w:rsid w:val="00E919AC"/>
    <w:rsid w:val="00E91A88"/>
    <w:rsid w:val="00E91BC9"/>
    <w:rsid w:val="00E92D0B"/>
    <w:rsid w:val="00E92D21"/>
    <w:rsid w:val="00E934BA"/>
    <w:rsid w:val="00E93965"/>
    <w:rsid w:val="00E9412F"/>
    <w:rsid w:val="00E94CE2"/>
    <w:rsid w:val="00E95B87"/>
    <w:rsid w:val="00E977BE"/>
    <w:rsid w:val="00EA01CD"/>
    <w:rsid w:val="00EA032C"/>
    <w:rsid w:val="00EA0A3D"/>
    <w:rsid w:val="00EA2839"/>
    <w:rsid w:val="00EA2B5F"/>
    <w:rsid w:val="00EA306E"/>
    <w:rsid w:val="00EA32DD"/>
    <w:rsid w:val="00EA4295"/>
    <w:rsid w:val="00EA44AD"/>
    <w:rsid w:val="00EA4588"/>
    <w:rsid w:val="00EA53CB"/>
    <w:rsid w:val="00EA5BE4"/>
    <w:rsid w:val="00EB09D8"/>
    <w:rsid w:val="00EB104C"/>
    <w:rsid w:val="00EB3C0D"/>
    <w:rsid w:val="00EC0A6E"/>
    <w:rsid w:val="00EC16AA"/>
    <w:rsid w:val="00EC1EF6"/>
    <w:rsid w:val="00EC20B7"/>
    <w:rsid w:val="00EC5736"/>
    <w:rsid w:val="00EC7D01"/>
    <w:rsid w:val="00ED1035"/>
    <w:rsid w:val="00ED198B"/>
    <w:rsid w:val="00ED2795"/>
    <w:rsid w:val="00ED2B9D"/>
    <w:rsid w:val="00ED4E52"/>
    <w:rsid w:val="00ED4F18"/>
    <w:rsid w:val="00ED5ABC"/>
    <w:rsid w:val="00ED60D1"/>
    <w:rsid w:val="00ED665E"/>
    <w:rsid w:val="00EE030E"/>
    <w:rsid w:val="00EE1DDA"/>
    <w:rsid w:val="00EE2689"/>
    <w:rsid w:val="00EE2BA9"/>
    <w:rsid w:val="00EE2C91"/>
    <w:rsid w:val="00EE3293"/>
    <w:rsid w:val="00EE3368"/>
    <w:rsid w:val="00EE470B"/>
    <w:rsid w:val="00EE4FE7"/>
    <w:rsid w:val="00EE5229"/>
    <w:rsid w:val="00EE53C3"/>
    <w:rsid w:val="00EE72AF"/>
    <w:rsid w:val="00EE798D"/>
    <w:rsid w:val="00EF379B"/>
    <w:rsid w:val="00EF3DE1"/>
    <w:rsid w:val="00EF3E87"/>
    <w:rsid w:val="00EF3EE5"/>
    <w:rsid w:val="00EF3EF6"/>
    <w:rsid w:val="00EF4204"/>
    <w:rsid w:val="00EF4D9A"/>
    <w:rsid w:val="00EF6B5E"/>
    <w:rsid w:val="00EF787D"/>
    <w:rsid w:val="00F0010D"/>
    <w:rsid w:val="00F01833"/>
    <w:rsid w:val="00F01CAE"/>
    <w:rsid w:val="00F0320B"/>
    <w:rsid w:val="00F03A1D"/>
    <w:rsid w:val="00F05523"/>
    <w:rsid w:val="00F06DD7"/>
    <w:rsid w:val="00F076A0"/>
    <w:rsid w:val="00F1022A"/>
    <w:rsid w:val="00F1031A"/>
    <w:rsid w:val="00F10A24"/>
    <w:rsid w:val="00F1297A"/>
    <w:rsid w:val="00F13E10"/>
    <w:rsid w:val="00F141AA"/>
    <w:rsid w:val="00F1447C"/>
    <w:rsid w:val="00F14F3E"/>
    <w:rsid w:val="00F15091"/>
    <w:rsid w:val="00F162B9"/>
    <w:rsid w:val="00F16A3D"/>
    <w:rsid w:val="00F16E4F"/>
    <w:rsid w:val="00F20353"/>
    <w:rsid w:val="00F221E4"/>
    <w:rsid w:val="00F23CA0"/>
    <w:rsid w:val="00F2412A"/>
    <w:rsid w:val="00F24E02"/>
    <w:rsid w:val="00F2554C"/>
    <w:rsid w:val="00F25A03"/>
    <w:rsid w:val="00F26110"/>
    <w:rsid w:val="00F26EC3"/>
    <w:rsid w:val="00F27F8B"/>
    <w:rsid w:val="00F3184F"/>
    <w:rsid w:val="00F32012"/>
    <w:rsid w:val="00F33A8F"/>
    <w:rsid w:val="00F3444A"/>
    <w:rsid w:val="00F35BEF"/>
    <w:rsid w:val="00F3713C"/>
    <w:rsid w:val="00F377A2"/>
    <w:rsid w:val="00F41646"/>
    <w:rsid w:val="00F41AF9"/>
    <w:rsid w:val="00F437E9"/>
    <w:rsid w:val="00F43961"/>
    <w:rsid w:val="00F44A81"/>
    <w:rsid w:val="00F44DB0"/>
    <w:rsid w:val="00F469A1"/>
    <w:rsid w:val="00F46E4D"/>
    <w:rsid w:val="00F47567"/>
    <w:rsid w:val="00F50067"/>
    <w:rsid w:val="00F50461"/>
    <w:rsid w:val="00F507F4"/>
    <w:rsid w:val="00F50F3D"/>
    <w:rsid w:val="00F5230A"/>
    <w:rsid w:val="00F52A56"/>
    <w:rsid w:val="00F52D41"/>
    <w:rsid w:val="00F55DAA"/>
    <w:rsid w:val="00F60363"/>
    <w:rsid w:val="00F6093A"/>
    <w:rsid w:val="00F630E3"/>
    <w:rsid w:val="00F646B5"/>
    <w:rsid w:val="00F6493C"/>
    <w:rsid w:val="00F66839"/>
    <w:rsid w:val="00F67294"/>
    <w:rsid w:val="00F67930"/>
    <w:rsid w:val="00F67DBD"/>
    <w:rsid w:val="00F70C8E"/>
    <w:rsid w:val="00F70EB1"/>
    <w:rsid w:val="00F71493"/>
    <w:rsid w:val="00F725B0"/>
    <w:rsid w:val="00F72D99"/>
    <w:rsid w:val="00F72E91"/>
    <w:rsid w:val="00F739D9"/>
    <w:rsid w:val="00F73CCC"/>
    <w:rsid w:val="00F74C63"/>
    <w:rsid w:val="00F75EED"/>
    <w:rsid w:val="00F7699E"/>
    <w:rsid w:val="00F77209"/>
    <w:rsid w:val="00F7765D"/>
    <w:rsid w:val="00F779D1"/>
    <w:rsid w:val="00F77A9D"/>
    <w:rsid w:val="00F8194F"/>
    <w:rsid w:val="00F8373E"/>
    <w:rsid w:val="00F84A98"/>
    <w:rsid w:val="00F84F49"/>
    <w:rsid w:val="00F85010"/>
    <w:rsid w:val="00F85365"/>
    <w:rsid w:val="00F85510"/>
    <w:rsid w:val="00F86605"/>
    <w:rsid w:val="00F86BD8"/>
    <w:rsid w:val="00F91C32"/>
    <w:rsid w:val="00F91CAD"/>
    <w:rsid w:val="00F9225D"/>
    <w:rsid w:val="00F928F9"/>
    <w:rsid w:val="00F933CF"/>
    <w:rsid w:val="00F95B9D"/>
    <w:rsid w:val="00F9649C"/>
    <w:rsid w:val="00F96CE6"/>
    <w:rsid w:val="00F97021"/>
    <w:rsid w:val="00F97F00"/>
    <w:rsid w:val="00FA05CC"/>
    <w:rsid w:val="00FA0614"/>
    <w:rsid w:val="00FA0735"/>
    <w:rsid w:val="00FA1F4E"/>
    <w:rsid w:val="00FA2275"/>
    <w:rsid w:val="00FA2D3F"/>
    <w:rsid w:val="00FA2F9E"/>
    <w:rsid w:val="00FA6FC0"/>
    <w:rsid w:val="00FA7B8E"/>
    <w:rsid w:val="00FB0897"/>
    <w:rsid w:val="00FB1439"/>
    <w:rsid w:val="00FB2A4A"/>
    <w:rsid w:val="00FB3F68"/>
    <w:rsid w:val="00FB4F73"/>
    <w:rsid w:val="00FB63A0"/>
    <w:rsid w:val="00FB6A86"/>
    <w:rsid w:val="00FB7542"/>
    <w:rsid w:val="00FB7C2A"/>
    <w:rsid w:val="00FC0816"/>
    <w:rsid w:val="00FC17EC"/>
    <w:rsid w:val="00FC4357"/>
    <w:rsid w:val="00FC53A9"/>
    <w:rsid w:val="00FC587C"/>
    <w:rsid w:val="00FC5FFA"/>
    <w:rsid w:val="00FC6097"/>
    <w:rsid w:val="00FC7369"/>
    <w:rsid w:val="00FD026A"/>
    <w:rsid w:val="00FD0317"/>
    <w:rsid w:val="00FD4030"/>
    <w:rsid w:val="00FD4C25"/>
    <w:rsid w:val="00FD4D11"/>
    <w:rsid w:val="00FD579C"/>
    <w:rsid w:val="00FD5DBA"/>
    <w:rsid w:val="00FE04DC"/>
    <w:rsid w:val="00FE123D"/>
    <w:rsid w:val="00FE1641"/>
    <w:rsid w:val="00FE1C72"/>
    <w:rsid w:val="00FE3147"/>
    <w:rsid w:val="00FE572F"/>
    <w:rsid w:val="00FE6DBA"/>
    <w:rsid w:val="00FF0191"/>
    <w:rsid w:val="00FF1458"/>
    <w:rsid w:val="00FF15B7"/>
    <w:rsid w:val="00FF3173"/>
    <w:rsid w:val="00FF355F"/>
    <w:rsid w:val="00FF3B3D"/>
    <w:rsid w:val="00FF417B"/>
    <w:rsid w:val="00FF6AFC"/>
    <w:rsid w:val="00FF6C1E"/>
    <w:rsid w:val="00FF766E"/>
    <w:rsid w:val="00FF79BD"/>
    <w:rsid w:val="01D22C09"/>
    <w:rsid w:val="03EF2CD9"/>
    <w:rsid w:val="04223160"/>
    <w:rsid w:val="05167FE9"/>
    <w:rsid w:val="053438B1"/>
    <w:rsid w:val="0605563B"/>
    <w:rsid w:val="066C6E20"/>
    <w:rsid w:val="06D752CA"/>
    <w:rsid w:val="08460D9C"/>
    <w:rsid w:val="09866D66"/>
    <w:rsid w:val="0A2B6DB3"/>
    <w:rsid w:val="0A3B2C13"/>
    <w:rsid w:val="0AE4435D"/>
    <w:rsid w:val="0B652341"/>
    <w:rsid w:val="0CF3609C"/>
    <w:rsid w:val="0D9E7D6A"/>
    <w:rsid w:val="0F8343D6"/>
    <w:rsid w:val="10DE793B"/>
    <w:rsid w:val="10ED13FA"/>
    <w:rsid w:val="11925362"/>
    <w:rsid w:val="119D22CF"/>
    <w:rsid w:val="11DD4BD6"/>
    <w:rsid w:val="12D71F6F"/>
    <w:rsid w:val="130F0DE4"/>
    <w:rsid w:val="139E6193"/>
    <w:rsid w:val="13DD05F0"/>
    <w:rsid w:val="13EE3A98"/>
    <w:rsid w:val="1414503E"/>
    <w:rsid w:val="15012B45"/>
    <w:rsid w:val="165F6F73"/>
    <w:rsid w:val="176F33C7"/>
    <w:rsid w:val="17D85E6B"/>
    <w:rsid w:val="191A0F7B"/>
    <w:rsid w:val="193C7E2B"/>
    <w:rsid w:val="19462890"/>
    <w:rsid w:val="198B4DA3"/>
    <w:rsid w:val="19F054F5"/>
    <w:rsid w:val="1A32297C"/>
    <w:rsid w:val="1ACF1904"/>
    <w:rsid w:val="1B1958D7"/>
    <w:rsid w:val="1B2E0225"/>
    <w:rsid w:val="1B560CE7"/>
    <w:rsid w:val="1E1E0381"/>
    <w:rsid w:val="1EFF4953"/>
    <w:rsid w:val="1FD92862"/>
    <w:rsid w:val="2029149A"/>
    <w:rsid w:val="20971013"/>
    <w:rsid w:val="21113375"/>
    <w:rsid w:val="21137D4A"/>
    <w:rsid w:val="21556F04"/>
    <w:rsid w:val="21A22FEA"/>
    <w:rsid w:val="228440A6"/>
    <w:rsid w:val="2332713B"/>
    <w:rsid w:val="236D403B"/>
    <w:rsid w:val="238E78C4"/>
    <w:rsid w:val="243A5EB1"/>
    <w:rsid w:val="24A03386"/>
    <w:rsid w:val="24D46E3B"/>
    <w:rsid w:val="25CA7BE1"/>
    <w:rsid w:val="26487036"/>
    <w:rsid w:val="27873B8F"/>
    <w:rsid w:val="283B6F8B"/>
    <w:rsid w:val="285923EF"/>
    <w:rsid w:val="291A24A6"/>
    <w:rsid w:val="2A344C4C"/>
    <w:rsid w:val="2A6E67C1"/>
    <w:rsid w:val="2A895E70"/>
    <w:rsid w:val="2B75506F"/>
    <w:rsid w:val="2B89078B"/>
    <w:rsid w:val="2BD34364"/>
    <w:rsid w:val="2C350566"/>
    <w:rsid w:val="2C6F4386"/>
    <w:rsid w:val="2D0D60ED"/>
    <w:rsid w:val="2D4F6EFD"/>
    <w:rsid w:val="2E921F94"/>
    <w:rsid w:val="30C316DA"/>
    <w:rsid w:val="31EE3642"/>
    <w:rsid w:val="34474A35"/>
    <w:rsid w:val="35255BB3"/>
    <w:rsid w:val="35AF632F"/>
    <w:rsid w:val="361F7FB6"/>
    <w:rsid w:val="36583D25"/>
    <w:rsid w:val="37ED7A3F"/>
    <w:rsid w:val="382722C1"/>
    <w:rsid w:val="387C46C7"/>
    <w:rsid w:val="397E39C7"/>
    <w:rsid w:val="39D65AE1"/>
    <w:rsid w:val="3A63223A"/>
    <w:rsid w:val="3A792DCC"/>
    <w:rsid w:val="3AAD0E29"/>
    <w:rsid w:val="3BD03283"/>
    <w:rsid w:val="3BF65AB9"/>
    <w:rsid w:val="3C4A41F5"/>
    <w:rsid w:val="3DCA1B24"/>
    <w:rsid w:val="3E330175"/>
    <w:rsid w:val="3E5B2A14"/>
    <w:rsid w:val="3FA51371"/>
    <w:rsid w:val="415E6FBF"/>
    <w:rsid w:val="41B653C6"/>
    <w:rsid w:val="422862B6"/>
    <w:rsid w:val="42F5382E"/>
    <w:rsid w:val="43730C66"/>
    <w:rsid w:val="4411143E"/>
    <w:rsid w:val="44EE25D3"/>
    <w:rsid w:val="44F42C2F"/>
    <w:rsid w:val="45711B3B"/>
    <w:rsid w:val="45ED5667"/>
    <w:rsid w:val="46E7415F"/>
    <w:rsid w:val="476D70C1"/>
    <w:rsid w:val="47A01EF3"/>
    <w:rsid w:val="48242DF2"/>
    <w:rsid w:val="49BE31FD"/>
    <w:rsid w:val="4AAE3AA3"/>
    <w:rsid w:val="4B802C21"/>
    <w:rsid w:val="4B832517"/>
    <w:rsid w:val="4D5047F0"/>
    <w:rsid w:val="4FA1206B"/>
    <w:rsid w:val="50267181"/>
    <w:rsid w:val="505A4AC3"/>
    <w:rsid w:val="50834406"/>
    <w:rsid w:val="512D0DB8"/>
    <w:rsid w:val="51396045"/>
    <w:rsid w:val="515F61D9"/>
    <w:rsid w:val="522E387E"/>
    <w:rsid w:val="52422E97"/>
    <w:rsid w:val="52AB0293"/>
    <w:rsid w:val="53726BC7"/>
    <w:rsid w:val="54F268F7"/>
    <w:rsid w:val="555D4DA1"/>
    <w:rsid w:val="5594462A"/>
    <w:rsid w:val="5625221B"/>
    <w:rsid w:val="56D27D08"/>
    <w:rsid w:val="57283E05"/>
    <w:rsid w:val="586B1D0E"/>
    <w:rsid w:val="58CC4277"/>
    <w:rsid w:val="593777C6"/>
    <w:rsid w:val="59DE3233"/>
    <w:rsid w:val="5A2A233F"/>
    <w:rsid w:val="5A4718B7"/>
    <w:rsid w:val="5A8F3866"/>
    <w:rsid w:val="5AC4535D"/>
    <w:rsid w:val="5B282F01"/>
    <w:rsid w:val="5B9B0539"/>
    <w:rsid w:val="5BB77B70"/>
    <w:rsid w:val="5BE25EFF"/>
    <w:rsid w:val="5BF44F90"/>
    <w:rsid w:val="5C885774"/>
    <w:rsid w:val="5E7C635A"/>
    <w:rsid w:val="5F3D09FC"/>
    <w:rsid w:val="61676587"/>
    <w:rsid w:val="636016C1"/>
    <w:rsid w:val="639A0301"/>
    <w:rsid w:val="64B75BAC"/>
    <w:rsid w:val="65DE3A33"/>
    <w:rsid w:val="66B23A39"/>
    <w:rsid w:val="67D363A2"/>
    <w:rsid w:val="681662CF"/>
    <w:rsid w:val="69286279"/>
    <w:rsid w:val="6BC27FED"/>
    <w:rsid w:val="6C1738A7"/>
    <w:rsid w:val="6C4518E0"/>
    <w:rsid w:val="6DC42DA6"/>
    <w:rsid w:val="6E58324B"/>
    <w:rsid w:val="6E656962"/>
    <w:rsid w:val="6E93403C"/>
    <w:rsid w:val="71895A68"/>
    <w:rsid w:val="730D09BA"/>
    <w:rsid w:val="73562978"/>
    <w:rsid w:val="73AA6E55"/>
    <w:rsid w:val="73FA4B7F"/>
    <w:rsid w:val="75552D48"/>
    <w:rsid w:val="76A81FFE"/>
    <w:rsid w:val="77B60C77"/>
    <w:rsid w:val="78705A64"/>
    <w:rsid w:val="7885618D"/>
    <w:rsid w:val="78860B94"/>
    <w:rsid w:val="792C5B1A"/>
    <w:rsid w:val="79D20516"/>
    <w:rsid w:val="79D76221"/>
    <w:rsid w:val="7A2B6051"/>
    <w:rsid w:val="7A5B0D33"/>
    <w:rsid w:val="7C670CE6"/>
    <w:rsid w:val="7CB24380"/>
    <w:rsid w:val="7DF1375B"/>
    <w:rsid w:val="7F673F4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E17D8"/>
  <w15:docId w15:val="{A69ADFE1-C058-43F6-A622-9F13A4EE2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lsdException w:name="toc 6" w:uiPriority="39" w:qFormat="1"/>
    <w:lsdException w:name="toc 7" w:uiPriority="39"/>
    <w:lsdException w:name="toc 8" w:uiPriority="39" w:qFormat="1"/>
    <w:lsdException w:name="toc 9" w:uiPriority="39" w:qFormat="1"/>
    <w:lsdException w:name="Normal Indent" w:semiHidden="1" w:unhideWhenUsed="1"/>
    <w:lsdException w:name="footnote text" w:unhideWhenUsed="1" w:qFormat="1"/>
    <w:lsdException w:name="annotation text" w:uiPriority="0"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iPriority="0" w:qFormat="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qFormat="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nhideWhenUsed="1"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iPriority="0" w:qFormat="1"/>
    <w:lsdException w:name="Hyperlink" w:unhideWhenUsed="1" w:qFormat="1"/>
    <w:lsdException w:name="FollowedHyperlink" w:qFormat="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ind w:firstLine="709"/>
      <w:jc w:val="both"/>
    </w:pPr>
    <w:rPr>
      <w:rFonts w:eastAsiaTheme="minorHAnsi" w:cstheme="minorBidi"/>
      <w:sz w:val="24"/>
      <w:szCs w:val="22"/>
      <w:lang w:eastAsia="en-US"/>
    </w:rPr>
  </w:style>
  <w:style w:type="paragraph" w:styleId="1">
    <w:name w:val="heading 1"/>
    <w:basedOn w:val="a0"/>
    <w:next w:val="a0"/>
    <w:link w:val="10"/>
    <w:qFormat/>
    <w:pPr>
      <w:keepNext/>
      <w:keepLines/>
      <w:pageBreakBefore/>
      <w:outlineLvl w:val="0"/>
    </w:pPr>
    <w:rPr>
      <w:rFonts w:eastAsiaTheme="majorEastAsia" w:cstheme="majorBidi"/>
      <w:b/>
      <w:szCs w:val="32"/>
    </w:rPr>
  </w:style>
  <w:style w:type="paragraph" w:styleId="20">
    <w:name w:val="heading 2"/>
    <w:basedOn w:val="a0"/>
    <w:next w:val="a0"/>
    <w:link w:val="21"/>
    <w:unhideWhenUsed/>
    <w:qFormat/>
    <w:pPr>
      <w:keepNext/>
      <w:keepLines/>
      <w:jc w:val="left"/>
      <w:outlineLvl w:val="1"/>
    </w:pPr>
    <w:rPr>
      <w:rFonts w:eastAsiaTheme="majorEastAsia" w:cstheme="majorBidi"/>
      <w:b/>
      <w:szCs w:val="26"/>
    </w:rPr>
  </w:style>
  <w:style w:type="paragraph" w:styleId="3">
    <w:name w:val="heading 3"/>
    <w:basedOn w:val="a0"/>
    <w:next w:val="a0"/>
    <w:link w:val="30"/>
    <w:unhideWhenUsed/>
    <w:qFormat/>
    <w:pPr>
      <w:keepNext/>
      <w:keepLines/>
      <w:outlineLvl w:val="2"/>
    </w:pPr>
    <w:rPr>
      <w:rFonts w:eastAsiaTheme="majorEastAsia" w:cstheme="majorBidi"/>
      <w:b/>
      <w:szCs w:val="24"/>
    </w:rPr>
  </w:style>
  <w:style w:type="paragraph" w:styleId="4">
    <w:name w:val="heading 4"/>
    <w:basedOn w:val="a0"/>
    <w:next w:val="a0"/>
    <w:link w:val="40"/>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pPr>
      <w:keepNext/>
      <w:keepLines/>
      <w:spacing w:before="80"/>
      <w:ind w:firstLine="0"/>
      <w:jc w:val="left"/>
      <w:outlineLvl w:val="4"/>
    </w:pPr>
    <w:rPr>
      <w:rFonts w:ascii="Calibri Light" w:eastAsia="Times New Roman" w:hAnsi="Calibri Light" w:cs="Times New Roman"/>
      <w:szCs w:val="24"/>
      <w:lang w:val="zh-CN" w:eastAsia="zh-CN"/>
    </w:rPr>
  </w:style>
  <w:style w:type="paragraph" w:styleId="6">
    <w:name w:val="heading 6"/>
    <w:basedOn w:val="a0"/>
    <w:next w:val="a0"/>
    <w:link w:val="60"/>
    <w:qFormat/>
    <w:pPr>
      <w:keepNext/>
      <w:keepLines/>
      <w:spacing w:before="80"/>
      <w:ind w:firstLine="0"/>
      <w:jc w:val="left"/>
      <w:outlineLvl w:val="5"/>
    </w:pPr>
    <w:rPr>
      <w:rFonts w:ascii="Calibri Light" w:eastAsia="Times New Roman" w:hAnsi="Calibri Light" w:cs="Times New Roman"/>
      <w:i/>
      <w:iCs/>
      <w:szCs w:val="24"/>
      <w:lang w:val="zh-CN" w:eastAsia="zh-CN"/>
    </w:rPr>
  </w:style>
  <w:style w:type="paragraph" w:styleId="7">
    <w:name w:val="heading 7"/>
    <w:basedOn w:val="a0"/>
    <w:next w:val="a0"/>
    <w:link w:val="70"/>
    <w:qFormat/>
    <w:pPr>
      <w:keepNext/>
      <w:keepLines/>
      <w:spacing w:before="80"/>
      <w:ind w:firstLine="0"/>
      <w:jc w:val="left"/>
      <w:outlineLvl w:val="6"/>
    </w:pPr>
    <w:rPr>
      <w:rFonts w:ascii="Calibri Light" w:eastAsia="Times New Roman" w:hAnsi="Calibri Light" w:cs="Times New Roman"/>
      <w:color w:val="595959"/>
      <w:szCs w:val="24"/>
      <w:lang w:val="zh-CN" w:eastAsia="zh-CN"/>
    </w:rPr>
  </w:style>
  <w:style w:type="paragraph" w:styleId="8">
    <w:name w:val="heading 8"/>
    <w:basedOn w:val="a0"/>
    <w:next w:val="a0"/>
    <w:link w:val="80"/>
    <w:qFormat/>
    <w:pPr>
      <w:keepNext/>
      <w:keepLines/>
      <w:spacing w:before="80"/>
      <w:ind w:firstLine="0"/>
      <w:jc w:val="left"/>
      <w:outlineLvl w:val="7"/>
    </w:pPr>
    <w:rPr>
      <w:rFonts w:ascii="Calibri Light" w:eastAsia="Times New Roman" w:hAnsi="Calibri Light" w:cs="Times New Roman"/>
      <w:caps/>
      <w:sz w:val="20"/>
      <w:szCs w:val="20"/>
      <w:lang w:val="zh-CN" w:eastAsia="zh-CN"/>
    </w:rPr>
  </w:style>
  <w:style w:type="paragraph" w:styleId="9">
    <w:name w:val="heading 9"/>
    <w:basedOn w:val="a0"/>
    <w:next w:val="a0"/>
    <w:link w:val="90"/>
    <w:qFormat/>
    <w:pPr>
      <w:keepNext/>
      <w:keepLines/>
      <w:spacing w:before="80"/>
      <w:ind w:firstLine="0"/>
      <w:jc w:val="left"/>
      <w:outlineLvl w:val="8"/>
    </w:pPr>
    <w:rPr>
      <w:rFonts w:ascii="Calibri Light" w:eastAsia="Times New Roman" w:hAnsi="Calibri Light" w:cs="Times New Roman"/>
      <w:i/>
      <w:iCs/>
      <w:caps/>
      <w:sz w:val="20"/>
      <w:szCs w:val="20"/>
      <w:lang w:val="zh-CN"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qFormat/>
    <w:pPr>
      <w:ind w:firstLine="0"/>
      <w:jc w:val="left"/>
    </w:pPr>
    <w:rPr>
      <w:rFonts w:ascii="Tahoma" w:eastAsia="Times New Roman" w:hAnsi="Tahoma" w:cs="Times New Roman"/>
      <w:sz w:val="16"/>
      <w:szCs w:val="16"/>
      <w:lang w:val="zh-CN" w:eastAsia="ru-RU"/>
    </w:rPr>
  </w:style>
  <w:style w:type="paragraph" w:styleId="a6">
    <w:name w:val="Block Text"/>
    <w:basedOn w:val="a0"/>
    <w:semiHidden/>
    <w:qFormat/>
    <w:pPr>
      <w:ind w:left="-180" w:right="-150" w:firstLine="0"/>
      <w:jc w:val="center"/>
    </w:pPr>
    <w:rPr>
      <w:rFonts w:ascii="Arial" w:eastAsia="Times New Roman" w:hAnsi="Arial" w:cs="Arial"/>
      <w:sz w:val="20"/>
      <w:szCs w:val="20"/>
      <w:lang w:eastAsia="ru-RU"/>
    </w:rPr>
  </w:style>
  <w:style w:type="paragraph" w:styleId="a7">
    <w:name w:val="Body Text"/>
    <w:basedOn w:val="a0"/>
    <w:link w:val="a8"/>
    <w:qFormat/>
    <w:pPr>
      <w:spacing w:after="120"/>
      <w:ind w:firstLine="0"/>
      <w:jc w:val="left"/>
    </w:pPr>
    <w:rPr>
      <w:rFonts w:eastAsia="Times New Roman" w:cs="Times New Roman"/>
      <w:szCs w:val="24"/>
      <w:lang w:eastAsia="ru-RU"/>
    </w:rPr>
  </w:style>
  <w:style w:type="paragraph" w:styleId="22">
    <w:name w:val="Body Text 2"/>
    <w:basedOn w:val="a0"/>
    <w:link w:val="23"/>
    <w:qFormat/>
    <w:pPr>
      <w:spacing w:after="120" w:line="480" w:lineRule="auto"/>
      <w:ind w:firstLine="0"/>
    </w:pPr>
    <w:rPr>
      <w:rFonts w:eastAsia="Times New Roman" w:cs="Times New Roman"/>
      <w:szCs w:val="24"/>
      <w:lang w:val="zh-CN" w:eastAsia="ru-RU"/>
    </w:rPr>
  </w:style>
  <w:style w:type="paragraph" w:styleId="31">
    <w:name w:val="Body Text 3"/>
    <w:basedOn w:val="a0"/>
    <w:link w:val="32"/>
    <w:qFormat/>
    <w:pPr>
      <w:spacing w:after="120"/>
      <w:ind w:firstLine="0"/>
      <w:jc w:val="left"/>
    </w:pPr>
    <w:rPr>
      <w:rFonts w:eastAsia="Times New Roman" w:cs="Times New Roman"/>
      <w:sz w:val="16"/>
      <w:szCs w:val="16"/>
      <w:lang w:val="zh-CN" w:eastAsia="ru-RU"/>
    </w:rPr>
  </w:style>
  <w:style w:type="paragraph" w:styleId="a9">
    <w:name w:val="Body Text Indent"/>
    <w:basedOn w:val="a0"/>
    <w:link w:val="aa"/>
    <w:uiPriority w:val="99"/>
    <w:unhideWhenUsed/>
    <w:qFormat/>
    <w:pPr>
      <w:spacing w:after="120"/>
      <w:ind w:left="283"/>
    </w:pPr>
  </w:style>
  <w:style w:type="paragraph" w:styleId="24">
    <w:name w:val="Body Text Indent 2"/>
    <w:basedOn w:val="a0"/>
    <w:link w:val="210"/>
    <w:qFormat/>
    <w:pPr>
      <w:spacing w:after="120" w:line="480" w:lineRule="auto"/>
      <w:ind w:left="283" w:firstLine="0"/>
      <w:jc w:val="left"/>
    </w:pPr>
    <w:rPr>
      <w:rFonts w:eastAsia="Times New Roman" w:cs="Times New Roman"/>
      <w:szCs w:val="24"/>
      <w:lang w:val="zh-CN" w:eastAsia="ru-RU"/>
    </w:rPr>
  </w:style>
  <w:style w:type="paragraph" w:styleId="33">
    <w:name w:val="Body Text Indent 3"/>
    <w:basedOn w:val="a0"/>
    <w:link w:val="34"/>
    <w:qFormat/>
    <w:pPr>
      <w:spacing w:after="120" w:line="312" w:lineRule="auto"/>
      <w:ind w:left="283" w:firstLine="0"/>
      <w:jc w:val="left"/>
    </w:pPr>
    <w:rPr>
      <w:rFonts w:ascii="Calibri" w:eastAsia="Times New Roman" w:hAnsi="Calibri" w:cs="Times New Roman"/>
      <w:sz w:val="16"/>
      <w:szCs w:val="16"/>
      <w:lang w:val="zh-CN" w:eastAsia="zh-CN"/>
    </w:rPr>
  </w:style>
  <w:style w:type="paragraph" w:styleId="ab">
    <w:name w:val="caption"/>
    <w:basedOn w:val="a0"/>
    <w:next w:val="a0"/>
    <w:uiPriority w:val="35"/>
    <w:unhideWhenUsed/>
    <w:qFormat/>
    <w:pPr>
      <w:ind w:firstLine="0"/>
      <w:jc w:val="center"/>
    </w:pPr>
    <w:rPr>
      <w:iCs/>
      <w:szCs w:val="18"/>
    </w:rPr>
  </w:style>
  <w:style w:type="character" w:styleId="ac">
    <w:name w:val="annotation reference"/>
    <w:qFormat/>
    <w:rPr>
      <w:sz w:val="16"/>
      <w:szCs w:val="16"/>
    </w:rPr>
  </w:style>
  <w:style w:type="paragraph" w:styleId="ad">
    <w:name w:val="annotation text"/>
    <w:basedOn w:val="a0"/>
    <w:link w:val="ae"/>
    <w:qFormat/>
    <w:pPr>
      <w:spacing w:after="160" w:line="312" w:lineRule="auto"/>
      <w:ind w:firstLine="0"/>
      <w:jc w:val="left"/>
    </w:pPr>
    <w:rPr>
      <w:rFonts w:ascii="Calibri" w:eastAsia="Times New Roman" w:hAnsi="Calibri" w:cs="Times New Roman"/>
      <w:sz w:val="20"/>
      <w:szCs w:val="20"/>
      <w:lang w:val="zh-CN"/>
    </w:rPr>
  </w:style>
  <w:style w:type="paragraph" w:styleId="af">
    <w:name w:val="annotation subject"/>
    <w:basedOn w:val="ad"/>
    <w:next w:val="ad"/>
    <w:link w:val="af0"/>
    <w:qFormat/>
    <w:rPr>
      <w:b/>
      <w:bCs/>
    </w:rPr>
  </w:style>
  <w:style w:type="character" w:styleId="af1">
    <w:name w:val="Emphasis"/>
    <w:qFormat/>
    <w:rPr>
      <w:rFonts w:ascii="Calibri" w:hAnsi="Calibri" w:cs="Calibri"/>
      <w:i/>
      <w:iCs/>
      <w:color w:val="C45911"/>
      <w:sz w:val="20"/>
      <w:szCs w:val="20"/>
    </w:rPr>
  </w:style>
  <w:style w:type="character" w:styleId="af2">
    <w:name w:val="endnote reference"/>
    <w:qFormat/>
    <w:rPr>
      <w:vertAlign w:val="superscript"/>
    </w:rPr>
  </w:style>
  <w:style w:type="paragraph" w:styleId="af3">
    <w:name w:val="endnote text"/>
    <w:basedOn w:val="a0"/>
    <w:link w:val="af4"/>
    <w:qFormat/>
    <w:pPr>
      <w:spacing w:after="160" w:line="312" w:lineRule="auto"/>
      <w:ind w:firstLine="0"/>
      <w:jc w:val="left"/>
    </w:pPr>
    <w:rPr>
      <w:rFonts w:ascii="Calibri" w:eastAsia="Times New Roman" w:hAnsi="Calibri" w:cs="Times New Roman"/>
      <w:sz w:val="20"/>
      <w:szCs w:val="20"/>
      <w:lang w:val="zh-CN"/>
    </w:rPr>
  </w:style>
  <w:style w:type="character" w:styleId="af5">
    <w:name w:val="FollowedHyperlink"/>
    <w:uiPriority w:val="99"/>
    <w:qFormat/>
    <w:rPr>
      <w:color w:val="800080"/>
      <w:u w:val="single"/>
    </w:rPr>
  </w:style>
  <w:style w:type="paragraph" w:styleId="af6">
    <w:name w:val="footer"/>
    <w:basedOn w:val="a0"/>
    <w:link w:val="af7"/>
    <w:uiPriority w:val="99"/>
    <w:unhideWhenUsed/>
    <w:qFormat/>
    <w:pPr>
      <w:tabs>
        <w:tab w:val="center" w:pos="4677"/>
        <w:tab w:val="right" w:pos="9355"/>
      </w:tabs>
    </w:pPr>
  </w:style>
  <w:style w:type="character" w:styleId="af8">
    <w:name w:val="footnote reference"/>
    <w:basedOn w:val="a1"/>
    <w:unhideWhenUsed/>
    <w:qFormat/>
    <w:rPr>
      <w:vertAlign w:val="superscript"/>
    </w:rPr>
  </w:style>
  <w:style w:type="paragraph" w:styleId="af9">
    <w:name w:val="footnote text"/>
    <w:basedOn w:val="a0"/>
    <w:link w:val="afa"/>
    <w:uiPriority w:val="99"/>
    <w:unhideWhenUsed/>
    <w:qFormat/>
    <w:rPr>
      <w:sz w:val="20"/>
      <w:szCs w:val="20"/>
    </w:rPr>
  </w:style>
  <w:style w:type="paragraph" w:styleId="afb">
    <w:name w:val="header"/>
    <w:basedOn w:val="a0"/>
    <w:link w:val="afc"/>
    <w:unhideWhenUsed/>
    <w:qFormat/>
    <w:pPr>
      <w:tabs>
        <w:tab w:val="center" w:pos="4677"/>
        <w:tab w:val="right" w:pos="9355"/>
      </w:tabs>
    </w:p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eastAsia="Times New Roman" w:hAnsi="Courier New" w:cs="Times New Roman"/>
      <w:sz w:val="20"/>
      <w:szCs w:val="20"/>
      <w:lang w:val="zh-CN" w:eastAsia="zh-CN"/>
    </w:rPr>
  </w:style>
  <w:style w:type="character" w:styleId="afd">
    <w:name w:val="Hyperlink"/>
    <w:basedOn w:val="a1"/>
    <w:uiPriority w:val="99"/>
    <w:unhideWhenUsed/>
    <w:qFormat/>
    <w:rPr>
      <w:color w:val="0563C1" w:themeColor="hyperlink"/>
      <w:u w:val="single"/>
    </w:rPr>
  </w:style>
  <w:style w:type="character" w:styleId="afe">
    <w:name w:val="line number"/>
    <w:semiHidden/>
    <w:qFormat/>
    <w:rPr>
      <w:rFonts w:cs="Times New Roman"/>
    </w:rPr>
  </w:style>
  <w:style w:type="paragraph" w:styleId="aff">
    <w:name w:val="List"/>
    <w:basedOn w:val="a7"/>
    <w:qFormat/>
    <w:pPr>
      <w:widowControl w:val="0"/>
      <w:suppressAutoHyphens/>
    </w:pPr>
    <w:rPr>
      <w:rFonts w:ascii="Arial" w:eastAsia="Arial Unicode MS" w:hAnsi="Arial" w:cs="Arial"/>
      <w:kern w:val="1"/>
      <w:sz w:val="20"/>
      <w:szCs w:val="20"/>
      <w:lang w:val="zh-CN"/>
    </w:rPr>
  </w:style>
  <w:style w:type="paragraph" w:styleId="25">
    <w:name w:val="List 2"/>
    <w:basedOn w:val="a0"/>
    <w:qFormat/>
    <w:pPr>
      <w:ind w:left="566" w:hanging="283"/>
      <w:jc w:val="left"/>
    </w:pPr>
    <w:rPr>
      <w:rFonts w:ascii="Calibri" w:eastAsia="Times New Roman" w:hAnsi="Calibri" w:cs="Times New Roman"/>
      <w:sz w:val="32"/>
      <w:szCs w:val="32"/>
      <w:lang w:eastAsia="ru-RU"/>
    </w:rPr>
  </w:style>
  <w:style w:type="paragraph" w:styleId="aff0">
    <w:name w:val="List Bullet"/>
    <w:basedOn w:val="a0"/>
    <w:uiPriority w:val="99"/>
    <w:qFormat/>
    <w:pPr>
      <w:snapToGrid w:val="0"/>
      <w:spacing w:line="360" w:lineRule="auto"/>
    </w:pPr>
    <w:rPr>
      <w:rFonts w:eastAsia="Times New Roman" w:cs="Times New Roman"/>
      <w:sz w:val="28"/>
      <w:szCs w:val="20"/>
      <w:lang w:eastAsia="ru-RU"/>
    </w:rPr>
  </w:style>
  <w:style w:type="paragraph" w:styleId="aff1">
    <w:name w:val="List Continue"/>
    <w:basedOn w:val="a0"/>
    <w:qFormat/>
    <w:pPr>
      <w:spacing w:after="120"/>
      <w:ind w:left="283" w:firstLine="0"/>
      <w:jc w:val="left"/>
    </w:pPr>
    <w:rPr>
      <w:rFonts w:ascii="Calibri" w:eastAsia="Times New Roman" w:hAnsi="Calibri" w:cs="Times New Roman"/>
      <w:sz w:val="32"/>
      <w:szCs w:val="32"/>
      <w:lang w:eastAsia="ru-RU"/>
    </w:rPr>
  </w:style>
  <w:style w:type="paragraph" w:styleId="a">
    <w:name w:val="List Number"/>
    <w:basedOn w:val="a0"/>
    <w:qFormat/>
    <w:pPr>
      <w:widowControl w:val="0"/>
      <w:numPr>
        <w:numId w:val="1"/>
      </w:numPr>
      <w:autoSpaceDE w:val="0"/>
      <w:autoSpaceDN w:val="0"/>
      <w:adjustRightInd w:val="0"/>
      <w:spacing w:line="360" w:lineRule="auto"/>
    </w:pPr>
    <w:rPr>
      <w:rFonts w:eastAsia="Times New Roman" w:cs="Times New Roman"/>
      <w:sz w:val="20"/>
      <w:szCs w:val="20"/>
      <w:lang w:eastAsia="ru-RU"/>
    </w:rPr>
  </w:style>
  <w:style w:type="paragraph" w:styleId="26">
    <w:name w:val="List Number 2"/>
    <w:basedOn w:val="a0"/>
    <w:qFormat/>
    <w:pPr>
      <w:tabs>
        <w:tab w:val="left" w:pos="1215"/>
      </w:tabs>
      <w:spacing w:line="360" w:lineRule="auto"/>
      <w:ind w:left="1215" w:hanging="855"/>
    </w:pPr>
    <w:rPr>
      <w:rFonts w:eastAsia="Times New Roman" w:cs="Times New Roman"/>
      <w:szCs w:val="24"/>
      <w:lang w:eastAsia="ru-RU"/>
    </w:rPr>
  </w:style>
  <w:style w:type="paragraph" w:styleId="aff2">
    <w:name w:val="Normal (Web)"/>
    <w:basedOn w:val="a0"/>
    <w:link w:val="aff3"/>
    <w:uiPriority w:val="99"/>
    <w:unhideWhenUsed/>
    <w:qFormat/>
    <w:pPr>
      <w:spacing w:before="100" w:beforeAutospacing="1" w:after="100" w:afterAutospacing="1"/>
      <w:ind w:firstLine="0"/>
      <w:jc w:val="left"/>
    </w:pPr>
    <w:rPr>
      <w:rFonts w:eastAsia="Times New Roman" w:cs="Times New Roman"/>
      <w:szCs w:val="24"/>
      <w:lang w:eastAsia="ru-RU"/>
    </w:rPr>
  </w:style>
  <w:style w:type="character" w:styleId="aff4">
    <w:name w:val="page number"/>
    <w:qFormat/>
    <w:rPr>
      <w:rFonts w:cs="Times New Roman"/>
    </w:rPr>
  </w:style>
  <w:style w:type="paragraph" w:styleId="aff5">
    <w:name w:val="Plain Text"/>
    <w:basedOn w:val="a0"/>
    <w:link w:val="aff6"/>
    <w:qFormat/>
    <w:pPr>
      <w:ind w:firstLine="0"/>
      <w:jc w:val="left"/>
    </w:pPr>
    <w:rPr>
      <w:rFonts w:ascii="Courier New" w:eastAsia="Times New Roman" w:hAnsi="Courier New" w:cs="Times New Roman"/>
      <w:sz w:val="20"/>
      <w:szCs w:val="20"/>
      <w:lang w:val="zh-CN" w:eastAsia="ru-RU"/>
    </w:rPr>
  </w:style>
  <w:style w:type="paragraph" w:styleId="aff7">
    <w:name w:val="Signature"/>
    <w:basedOn w:val="a0"/>
    <w:link w:val="aff8"/>
    <w:qFormat/>
    <w:pPr>
      <w:ind w:left="4252" w:firstLine="0"/>
      <w:jc w:val="left"/>
    </w:pPr>
    <w:rPr>
      <w:rFonts w:eastAsia="Times New Roman" w:cs="Times New Roman"/>
      <w:szCs w:val="24"/>
      <w:lang w:val="zh-CN" w:eastAsia="ru-RU"/>
    </w:rPr>
  </w:style>
  <w:style w:type="character" w:styleId="aff9">
    <w:name w:val="Strong"/>
    <w:uiPriority w:val="22"/>
    <w:qFormat/>
    <w:rPr>
      <w:rFonts w:ascii="Calibri" w:hAnsi="Calibri" w:cs="Calibri"/>
      <w:b/>
      <w:bCs/>
      <w:spacing w:val="0"/>
      <w:w w:val="100"/>
      <w:position w:val="0"/>
      <w:sz w:val="20"/>
      <w:szCs w:val="20"/>
    </w:rPr>
  </w:style>
  <w:style w:type="paragraph" w:styleId="affa">
    <w:name w:val="Subtitle"/>
    <w:basedOn w:val="a0"/>
    <w:next w:val="a0"/>
    <w:link w:val="affb"/>
    <w:qFormat/>
    <w:pPr>
      <w:spacing w:after="240" w:line="312" w:lineRule="auto"/>
      <w:jc w:val="left"/>
    </w:pPr>
    <w:rPr>
      <w:rFonts w:asciiTheme="minorHAnsi" w:hAnsiTheme="minorHAnsi" w:cs="Times New Roman"/>
      <w:color w:val="000000"/>
      <w:szCs w:val="24"/>
    </w:rPr>
  </w:style>
  <w:style w:type="table" w:styleId="affc">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2"/>
    <w:qFormat/>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affd">
    <w:name w:val="Title"/>
    <w:basedOn w:val="a0"/>
    <w:next w:val="a0"/>
    <w:link w:val="affe"/>
    <w:qFormat/>
    <w:pPr>
      <w:ind w:firstLine="0"/>
      <w:jc w:val="left"/>
    </w:pPr>
    <w:rPr>
      <w:rFonts w:ascii="Calibri Light" w:eastAsia="Times New Roman" w:hAnsi="Calibri Light" w:cs="Times New Roman"/>
      <w:caps/>
      <w:spacing w:val="40"/>
      <w:sz w:val="76"/>
      <w:szCs w:val="76"/>
      <w:lang w:val="zh-CN" w:eastAsia="zh-CN"/>
    </w:rPr>
  </w:style>
  <w:style w:type="paragraph" w:styleId="12">
    <w:name w:val="toc 1"/>
    <w:basedOn w:val="a0"/>
    <w:next w:val="a0"/>
    <w:uiPriority w:val="39"/>
    <w:unhideWhenUsed/>
    <w:qFormat/>
    <w:pPr>
      <w:tabs>
        <w:tab w:val="right" w:leader="dot" w:pos="10195"/>
      </w:tabs>
      <w:ind w:firstLine="0"/>
    </w:pPr>
  </w:style>
  <w:style w:type="paragraph" w:styleId="27">
    <w:name w:val="toc 2"/>
    <w:basedOn w:val="a0"/>
    <w:next w:val="a0"/>
    <w:uiPriority w:val="39"/>
    <w:unhideWhenUsed/>
    <w:qFormat/>
    <w:pPr>
      <w:spacing w:after="100"/>
      <w:ind w:left="240"/>
    </w:pPr>
  </w:style>
  <w:style w:type="paragraph" w:styleId="35">
    <w:name w:val="toc 3"/>
    <w:basedOn w:val="a0"/>
    <w:next w:val="a0"/>
    <w:uiPriority w:val="39"/>
    <w:unhideWhenUsed/>
    <w:qFormat/>
    <w:pPr>
      <w:spacing w:after="100"/>
      <w:ind w:left="480"/>
    </w:pPr>
  </w:style>
  <w:style w:type="paragraph" w:styleId="41">
    <w:name w:val="toc 4"/>
    <w:basedOn w:val="a0"/>
    <w:next w:val="a0"/>
    <w:uiPriority w:val="39"/>
    <w:qFormat/>
    <w:pPr>
      <w:spacing w:before="60"/>
      <w:ind w:left="1418" w:hanging="567"/>
      <w:jc w:val="left"/>
    </w:pPr>
    <w:rPr>
      <w:rFonts w:ascii="Arial" w:eastAsia="Times New Roman" w:hAnsi="Arial" w:cs="Arial"/>
      <w:sz w:val="18"/>
      <w:szCs w:val="18"/>
      <w:lang w:eastAsia="ru-RU"/>
    </w:rPr>
  </w:style>
  <w:style w:type="paragraph" w:styleId="51">
    <w:name w:val="toc 5"/>
    <w:basedOn w:val="a0"/>
    <w:next w:val="a0"/>
    <w:uiPriority w:val="39"/>
    <w:pPr>
      <w:spacing w:line="360" w:lineRule="auto"/>
      <w:ind w:left="960"/>
    </w:pPr>
    <w:rPr>
      <w:rFonts w:eastAsia="Times New Roman" w:cs="Times New Roman"/>
      <w:sz w:val="18"/>
      <w:szCs w:val="18"/>
      <w:lang w:eastAsia="ru-RU"/>
    </w:rPr>
  </w:style>
  <w:style w:type="paragraph" w:styleId="61">
    <w:name w:val="toc 6"/>
    <w:basedOn w:val="a0"/>
    <w:next w:val="a0"/>
    <w:uiPriority w:val="39"/>
    <w:qFormat/>
    <w:pPr>
      <w:spacing w:line="360" w:lineRule="auto"/>
      <w:ind w:left="1200"/>
    </w:pPr>
    <w:rPr>
      <w:rFonts w:eastAsia="Times New Roman" w:cs="Times New Roman"/>
      <w:sz w:val="18"/>
      <w:szCs w:val="18"/>
      <w:lang w:eastAsia="ru-RU"/>
    </w:rPr>
  </w:style>
  <w:style w:type="paragraph" w:styleId="71">
    <w:name w:val="toc 7"/>
    <w:basedOn w:val="a0"/>
    <w:next w:val="a0"/>
    <w:uiPriority w:val="39"/>
    <w:pPr>
      <w:spacing w:line="360" w:lineRule="auto"/>
      <w:ind w:left="1440"/>
    </w:pPr>
    <w:rPr>
      <w:rFonts w:eastAsia="Times New Roman" w:cs="Times New Roman"/>
      <w:sz w:val="18"/>
      <w:szCs w:val="18"/>
      <w:lang w:eastAsia="ru-RU"/>
    </w:rPr>
  </w:style>
  <w:style w:type="paragraph" w:styleId="81">
    <w:name w:val="toc 8"/>
    <w:basedOn w:val="a0"/>
    <w:next w:val="a0"/>
    <w:uiPriority w:val="39"/>
    <w:qFormat/>
    <w:pPr>
      <w:spacing w:line="360" w:lineRule="auto"/>
      <w:ind w:left="1680"/>
    </w:pPr>
    <w:rPr>
      <w:rFonts w:eastAsia="Times New Roman" w:cs="Times New Roman"/>
      <w:sz w:val="18"/>
      <w:szCs w:val="18"/>
      <w:lang w:eastAsia="ru-RU"/>
    </w:rPr>
  </w:style>
  <w:style w:type="paragraph" w:styleId="91">
    <w:name w:val="toc 9"/>
    <w:basedOn w:val="a0"/>
    <w:next w:val="a0"/>
    <w:uiPriority w:val="39"/>
    <w:qFormat/>
    <w:pPr>
      <w:spacing w:line="360" w:lineRule="auto"/>
      <w:ind w:left="1920"/>
    </w:pPr>
    <w:rPr>
      <w:rFonts w:eastAsia="Times New Roman" w:cs="Times New Roman"/>
      <w:sz w:val="18"/>
      <w:szCs w:val="18"/>
      <w:lang w:eastAsia="ru-RU"/>
    </w:rPr>
  </w:style>
  <w:style w:type="paragraph" w:styleId="afff">
    <w:name w:val="List Paragraph"/>
    <w:basedOn w:val="a0"/>
    <w:link w:val="afff0"/>
    <w:uiPriority w:val="34"/>
    <w:qFormat/>
    <w:pPr>
      <w:ind w:left="720"/>
      <w:contextualSpacing/>
    </w:pPr>
  </w:style>
  <w:style w:type="character" w:customStyle="1" w:styleId="10">
    <w:name w:val="Заголовок 1 Знак"/>
    <w:basedOn w:val="a1"/>
    <w:link w:val="1"/>
    <w:rPr>
      <w:rFonts w:ascii="Times New Roman" w:eastAsiaTheme="majorEastAsia" w:hAnsi="Times New Roman" w:cstheme="majorBidi"/>
      <w:b/>
      <w:sz w:val="24"/>
      <w:szCs w:val="32"/>
    </w:rPr>
  </w:style>
  <w:style w:type="character" w:customStyle="1" w:styleId="21">
    <w:name w:val="Заголовок 2 Знак"/>
    <w:basedOn w:val="a1"/>
    <w:link w:val="20"/>
    <w:qFormat/>
    <w:rPr>
      <w:rFonts w:ascii="Times New Roman" w:eastAsiaTheme="majorEastAsia" w:hAnsi="Times New Roman" w:cstheme="majorBidi"/>
      <w:b/>
      <w:sz w:val="24"/>
      <w:szCs w:val="26"/>
    </w:rPr>
  </w:style>
  <w:style w:type="character" w:customStyle="1" w:styleId="afc">
    <w:name w:val="Верхний колонтитул Знак"/>
    <w:basedOn w:val="a1"/>
    <w:link w:val="afb"/>
    <w:qFormat/>
    <w:rPr>
      <w:rFonts w:ascii="Times New Roman" w:hAnsi="Times New Roman"/>
      <w:sz w:val="24"/>
    </w:rPr>
  </w:style>
  <w:style w:type="character" w:customStyle="1" w:styleId="af7">
    <w:name w:val="Нижний колонтитул Знак"/>
    <w:basedOn w:val="a1"/>
    <w:link w:val="af6"/>
    <w:uiPriority w:val="99"/>
    <w:rPr>
      <w:rFonts w:ascii="Times New Roman" w:hAnsi="Times New Roman"/>
      <w:sz w:val="24"/>
    </w:rPr>
  </w:style>
  <w:style w:type="character" w:customStyle="1" w:styleId="30">
    <w:name w:val="Заголовок 3 Знак"/>
    <w:basedOn w:val="a1"/>
    <w:link w:val="3"/>
    <w:qFormat/>
    <w:rPr>
      <w:rFonts w:ascii="Times New Roman" w:eastAsiaTheme="majorEastAsia" w:hAnsi="Times New Roman" w:cstheme="majorBidi"/>
      <w:b/>
      <w:sz w:val="24"/>
      <w:szCs w:val="24"/>
    </w:rPr>
  </w:style>
  <w:style w:type="paragraph" w:customStyle="1" w:styleId="13">
    <w:name w:val="Заголовок оглавления1"/>
    <w:basedOn w:val="1"/>
    <w:next w:val="a0"/>
    <w:uiPriority w:val="39"/>
    <w:unhideWhenUsed/>
    <w:qFormat/>
    <w:pPr>
      <w:pageBreakBefore w:val="0"/>
      <w:spacing w:before="240" w:line="259" w:lineRule="auto"/>
      <w:ind w:firstLine="0"/>
      <w:jc w:val="left"/>
      <w:outlineLvl w:val="9"/>
    </w:pPr>
    <w:rPr>
      <w:rFonts w:asciiTheme="majorHAnsi" w:hAnsiTheme="majorHAnsi"/>
      <w:b w:val="0"/>
      <w:color w:val="2F5496" w:themeColor="accent1" w:themeShade="BF"/>
      <w:sz w:val="32"/>
      <w:lang w:eastAsia="ru-RU"/>
    </w:rPr>
  </w:style>
  <w:style w:type="character" w:customStyle="1" w:styleId="afff0">
    <w:name w:val="Абзац списка Знак"/>
    <w:link w:val="afff"/>
    <w:uiPriority w:val="34"/>
    <w:rPr>
      <w:rFonts w:ascii="Times New Roman" w:hAnsi="Times New Roman"/>
      <w:sz w:val="24"/>
    </w:rPr>
  </w:style>
  <w:style w:type="character" w:customStyle="1" w:styleId="afa">
    <w:name w:val="Текст сноски Знак"/>
    <w:basedOn w:val="a1"/>
    <w:link w:val="af9"/>
    <w:uiPriority w:val="99"/>
    <w:rPr>
      <w:rFonts w:ascii="Times New Roman" w:hAnsi="Times New Roman"/>
      <w:sz w:val="20"/>
      <w:szCs w:val="20"/>
    </w:rPr>
  </w:style>
  <w:style w:type="paragraph" w:customStyle="1" w:styleId="formattext">
    <w:name w:val="formattext"/>
    <w:basedOn w:val="a0"/>
    <w:pPr>
      <w:spacing w:before="100" w:beforeAutospacing="1" w:after="100" w:afterAutospacing="1"/>
      <w:ind w:firstLine="0"/>
      <w:jc w:val="left"/>
    </w:pPr>
    <w:rPr>
      <w:rFonts w:eastAsia="Times New Roman" w:cs="Times New Roman"/>
      <w:szCs w:val="24"/>
      <w:lang w:eastAsia="ru-RU"/>
    </w:rPr>
  </w:style>
  <w:style w:type="character" w:customStyle="1" w:styleId="afff1">
    <w:name w:val="Другое_"/>
    <w:link w:val="afff2"/>
    <w:rPr>
      <w:rFonts w:ascii="Times New Roman" w:hAnsi="Times New Roman"/>
    </w:rPr>
  </w:style>
  <w:style w:type="paragraph" w:customStyle="1" w:styleId="afff2">
    <w:name w:val="Другое"/>
    <w:basedOn w:val="a0"/>
    <w:link w:val="afff1"/>
    <w:qFormat/>
    <w:pPr>
      <w:widowControl w:val="0"/>
      <w:ind w:firstLine="400"/>
      <w:jc w:val="left"/>
    </w:pPr>
    <w:rPr>
      <w:sz w:val="22"/>
    </w:rPr>
  </w:style>
  <w:style w:type="paragraph" w:customStyle="1" w:styleId="ConsPlusNormal">
    <w:name w:val="ConsPlusNormal"/>
    <w:link w:val="ConsPlusNormal0"/>
    <w:qFormat/>
    <w:pPr>
      <w:widowControl w:val="0"/>
      <w:autoSpaceDE w:val="0"/>
      <w:autoSpaceDN w:val="0"/>
      <w:adjustRightInd w:val="0"/>
    </w:pPr>
    <w:rPr>
      <w:rFonts w:eastAsiaTheme="minorEastAsia"/>
      <w:sz w:val="24"/>
      <w:szCs w:val="24"/>
    </w:rPr>
  </w:style>
  <w:style w:type="paragraph" w:customStyle="1" w:styleId="afff3">
    <w:name w:val="Абзац"/>
    <w:link w:val="afff4"/>
    <w:qFormat/>
    <w:pPr>
      <w:spacing w:before="120" w:after="60"/>
      <w:ind w:firstLine="567"/>
      <w:jc w:val="both"/>
    </w:pPr>
    <w:rPr>
      <w:rFonts w:eastAsia="Times New Roman"/>
      <w:sz w:val="24"/>
      <w:szCs w:val="24"/>
    </w:rPr>
  </w:style>
  <w:style w:type="character" w:customStyle="1" w:styleId="afff4">
    <w:name w:val="Абзац Знак"/>
    <w:link w:val="afff3"/>
    <w:qFormat/>
    <w:locked/>
    <w:rPr>
      <w:rFonts w:ascii="Times New Roman" w:eastAsia="Times New Roman" w:hAnsi="Times New Roman" w:cs="Times New Roman"/>
      <w:sz w:val="24"/>
      <w:szCs w:val="24"/>
      <w:lang w:eastAsia="ru-RU"/>
    </w:rPr>
  </w:style>
  <w:style w:type="paragraph" w:customStyle="1" w:styleId="28">
    <w:name w:val="Заголовок_подзаголовок_2"/>
    <w:next w:val="afff3"/>
    <w:link w:val="29"/>
    <w:uiPriority w:val="99"/>
    <w:qFormat/>
    <w:pPr>
      <w:keepNext/>
      <w:spacing w:before="120" w:after="60"/>
      <w:ind w:left="567"/>
      <w:jc w:val="both"/>
    </w:pPr>
    <w:rPr>
      <w:rFonts w:eastAsia="Times New Roman"/>
      <w:b/>
      <w:bCs/>
      <w:sz w:val="24"/>
      <w:szCs w:val="24"/>
    </w:rPr>
  </w:style>
  <w:style w:type="character" w:customStyle="1" w:styleId="29">
    <w:name w:val="Заголовок_подзаголовок_2 Знак"/>
    <w:link w:val="28"/>
    <w:uiPriority w:val="99"/>
    <w:qFormat/>
    <w:locked/>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qFormat/>
    <w:rPr>
      <w:rFonts w:asciiTheme="majorHAnsi" w:eastAsiaTheme="majorEastAsia" w:hAnsiTheme="majorHAnsi" w:cstheme="majorBidi"/>
      <w:i/>
      <w:iCs/>
      <w:color w:val="2F5496" w:themeColor="accent1" w:themeShade="BF"/>
      <w:sz w:val="24"/>
    </w:rPr>
  </w:style>
  <w:style w:type="character" w:customStyle="1" w:styleId="a8">
    <w:name w:val="Основной текст Знак"/>
    <w:basedOn w:val="a1"/>
    <w:link w:val="a7"/>
    <w:qFormat/>
    <w:rPr>
      <w:rFonts w:ascii="Times New Roman" w:eastAsia="Times New Roman" w:hAnsi="Times New Roman" w:cs="Times New Roman"/>
      <w:sz w:val="24"/>
      <w:szCs w:val="24"/>
      <w:lang w:eastAsia="ru-RU"/>
    </w:rPr>
  </w:style>
  <w:style w:type="character" w:customStyle="1" w:styleId="blk">
    <w:name w:val="blk"/>
  </w:style>
  <w:style w:type="character" w:customStyle="1" w:styleId="aa">
    <w:name w:val="Основной текст с отступом Знак"/>
    <w:basedOn w:val="a1"/>
    <w:link w:val="a9"/>
    <w:uiPriority w:val="99"/>
    <w:qFormat/>
    <w:rPr>
      <w:rFonts w:ascii="Times New Roman" w:hAnsi="Times New Roman"/>
      <w:sz w:val="24"/>
    </w:rPr>
  </w:style>
  <w:style w:type="paragraph" w:customStyle="1" w:styleId="afff5">
    <w:name w:val="Ввод осн.текста Знак"/>
    <w:basedOn w:val="a0"/>
    <w:uiPriority w:val="99"/>
    <w:qFormat/>
    <w:pPr>
      <w:overflowPunct w:val="0"/>
      <w:autoSpaceDE w:val="0"/>
      <w:autoSpaceDN w:val="0"/>
      <w:adjustRightInd w:val="0"/>
      <w:spacing w:after="120"/>
      <w:jc w:val="left"/>
      <w:textAlignment w:val="baseline"/>
    </w:pPr>
    <w:rPr>
      <w:rFonts w:ascii="Times New Roman CYR" w:eastAsia="Times New Roman" w:hAnsi="Times New Roman CYR" w:cs="Times New Roman"/>
      <w:sz w:val="28"/>
      <w:szCs w:val="20"/>
      <w:lang w:eastAsia="ru-RU"/>
    </w:rPr>
  </w:style>
  <w:style w:type="character" w:customStyle="1" w:styleId="aff3">
    <w:name w:val="Обычный (веб) Знак"/>
    <w:link w:val="aff2"/>
    <w:uiPriority w:val="99"/>
    <w:rPr>
      <w:rFonts w:ascii="Times New Roman" w:eastAsia="Times New Roman" w:hAnsi="Times New Roman" w:cs="Times New Roman"/>
      <w:sz w:val="24"/>
      <w:szCs w:val="24"/>
      <w:lang w:eastAsia="ru-RU"/>
    </w:rPr>
  </w:style>
  <w:style w:type="paragraph" w:styleId="afff6">
    <w:name w:val="No Spacing"/>
    <w:link w:val="afff7"/>
    <w:qFormat/>
    <w:pPr>
      <w:ind w:firstLine="567"/>
      <w:jc w:val="both"/>
    </w:pPr>
    <w:rPr>
      <w:rFonts w:eastAsia="Times New Roman"/>
      <w:sz w:val="24"/>
      <w:szCs w:val="24"/>
    </w:rPr>
  </w:style>
  <w:style w:type="character" w:customStyle="1" w:styleId="afff7">
    <w:name w:val="Без интервала Знак"/>
    <w:link w:val="afff6"/>
    <w:rPr>
      <w:rFonts w:ascii="Times New Roman" w:eastAsia="Times New Roman" w:hAnsi="Times New Roman" w:cs="Times New Roman"/>
      <w:sz w:val="24"/>
      <w:szCs w:val="24"/>
      <w:lang w:eastAsia="ru-RU"/>
    </w:rPr>
  </w:style>
  <w:style w:type="paragraph" w:customStyle="1" w:styleId="130">
    <w:name w:val="Таблица_по ширине_13"/>
    <w:basedOn w:val="a0"/>
    <w:next w:val="afff3"/>
    <w:qFormat/>
    <w:pPr>
      <w:ind w:firstLine="0"/>
    </w:pPr>
    <w:rPr>
      <w:rFonts w:eastAsia="Times New Roman" w:cs="Times New Roman"/>
      <w:sz w:val="26"/>
      <w:lang w:eastAsia="ru-RU"/>
    </w:rPr>
  </w:style>
  <w:style w:type="character" w:customStyle="1" w:styleId="2a">
    <w:name w:val="Основной текст (2)"/>
    <w:basedOn w:val="a1"/>
    <w:rPr>
      <w:rFonts w:ascii="Times New Roman" w:eastAsia="Times New Roman" w:hAnsi="Times New Roman" w:cs="Times New Roman"/>
      <w:color w:val="000000"/>
      <w:spacing w:val="0"/>
      <w:w w:val="100"/>
      <w:position w:val="0"/>
      <w:sz w:val="28"/>
      <w:szCs w:val="28"/>
      <w:u w:val="none"/>
      <w:lang w:val="ru-RU" w:eastAsia="ru-RU" w:bidi="ru-RU"/>
    </w:rPr>
  </w:style>
  <w:style w:type="character" w:customStyle="1" w:styleId="211pt">
    <w:name w:val="Основной текст (2) + 11 pt"/>
    <w:basedOn w:val="a1"/>
    <w:qFormat/>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120">
    <w:name w:val="Таблица_по ширине_12"/>
    <w:basedOn w:val="a0"/>
    <w:qFormat/>
    <w:pPr>
      <w:ind w:firstLine="0"/>
    </w:pPr>
    <w:rPr>
      <w:rFonts w:eastAsia="Times New Roman" w:cs="Times New Roman"/>
      <w:lang w:eastAsia="ru-RU"/>
    </w:rPr>
  </w:style>
  <w:style w:type="paragraph" w:customStyle="1" w:styleId="320">
    <w:name w:val="Основной текст с отступом 32"/>
    <w:basedOn w:val="a0"/>
    <w:qFormat/>
    <w:pPr>
      <w:suppressAutoHyphens/>
      <w:overflowPunct w:val="0"/>
      <w:autoSpaceDE w:val="0"/>
      <w:spacing w:line="360" w:lineRule="auto"/>
      <w:ind w:firstLine="0"/>
      <w:jc w:val="left"/>
      <w:textAlignment w:val="baseline"/>
    </w:pPr>
    <w:rPr>
      <w:rFonts w:eastAsia="Times New Roman" w:cs="Times New Roman"/>
      <w:szCs w:val="24"/>
      <w:lang w:eastAsia="ar-SA"/>
    </w:rPr>
  </w:style>
  <w:style w:type="character" w:customStyle="1" w:styleId="ConsPlusNormal0">
    <w:name w:val="ConsPlusNormal Знак"/>
    <w:link w:val="ConsPlusNormal"/>
    <w:qFormat/>
    <w:rPr>
      <w:rFonts w:ascii="Times New Roman" w:eastAsiaTheme="minorEastAsia" w:hAnsi="Times New Roman" w:cs="Times New Roman"/>
      <w:sz w:val="24"/>
      <w:szCs w:val="24"/>
      <w:lang w:eastAsia="ru-RU"/>
    </w:rPr>
  </w:style>
  <w:style w:type="character" w:customStyle="1" w:styleId="50">
    <w:name w:val="Заголовок 5 Знак"/>
    <w:basedOn w:val="a1"/>
    <w:link w:val="5"/>
    <w:qFormat/>
    <w:rPr>
      <w:rFonts w:ascii="Calibri Light" w:eastAsia="Times New Roman" w:hAnsi="Calibri Light" w:cs="Times New Roman"/>
      <w:sz w:val="24"/>
      <w:szCs w:val="24"/>
      <w:lang w:val="zh-CN" w:eastAsia="zh-CN"/>
    </w:rPr>
  </w:style>
  <w:style w:type="character" w:customStyle="1" w:styleId="60">
    <w:name w:val="Заголовок 6 Знак"/>
    <w:basedOn w:val="a1"/>
    <w:link w:val="6"/>
    <w:qFormat/>
    <w:rPr>
      <w:rFonts w:ascii="Calibri Light" w:eastAsia="Times New Roman" w:hAnsi="Calibri Light" w:cs="Times New Roman"/>
      <w:i/>
      <w:iCs/>
      <w:sz w:val="24"/>
      <w:szCs w:val="24"/>
      <w:lang w:val="zh-CN" w:eastAsia="zh-CN"/>
    </w:rPr>
  </w:style>
  <w:style w:type="character" w:customStyle="1" w:styleId="70">
    <w:name w:val="Заголовок 7 Знак"/>
    <w:basedOn w:val="a1"/>
    <w:link w:val="7"/>
    <w:qFormat/>
    <w:rPr>
      <w:rFonts w:ascii="Calibri Light" w:eastAsia="Times New Roman" w:hAnsi="Calibri Light" w:cs="Times New Roman"/>
      <w:color w:val="595959"/>
      <w:sz w:val="24"/>
      <w:szCs w:val="24"/>
      <w:lang w:val="zh-CN" w:eastAsia="zh-CN"/>
    </w:rPr>
  </w:style>
  <w:style w:type="character" w:customStyle="1" w:styleId="80">
    <w:name w:val="Заголовок 8 Знак"/>
    <w:basedOn w:val="a1"/>
    <w:link w:val="8"/>
    <w:qFormat/>
    <w:rPr>
      <w:rFonts w:ascii="Calibri Light" w:eastAsia="Times New Roman" w:hAnsi="Calibri Light" w:cs="Times New Roman"/>
      <w:caps/>
      <w:sz w:val="20"/>
      <w:szCs w:val="20"/>
      <w:lang w:val="zh-CN" w:eastAsia="zh-CN"/>
    </w:rPr>
  </w:style>
  <w:style w:type="character" w:customStyle="1" w:styleId="90">
    <w:name w:val="Заголовок 9 Знак"/>
    <w:basedOn w:val="a1"/>
    <w:link w:val="9"/>
    <w:qFormat/>
    <w:rPr>
      <w:rFonts w:ascii="Calibri Light" w:eastAsia="Times New Roman" w:hAnsi="Calibri Light" w:cs="Times New Roman"/>
      <w:i/>
      <w:iCs/>
      <w:caps/>
      <w:sz w:val="20"/>
      <w:szCs w:val="20"/>
      <w:lang w:val="zh-CN" w:eastAsia="zh-CN"/>
    </w:rPr>
  </w:style>
  <w:style w:type="character" w:customStyle="1" w:styleId="211">
    <w:name w:val="Заголовок 2 Знак1"/>
    <w:qFormat/>
    <w:locked/>
    <w:rPr>
      <w:rFonts w:ascii="Calibri Light" w:hAnsi="Calibri Light" w:cs="Calibri Light"/>
      <w:sz w:val="36"/>
      <w:szCs w:val="36"/>
    </w:rPr>
  </w:style>
  <w:style w:type="character" w:customStyle="1" w:styleId="310">
    <w:name w:val="Заголовок 3 Знак1"/>
    <w:qFormat/>
    <w:locked/>
    <w:rPr>
      <w:rFonts w:ascii="Calibri Light" w:hAnsi="Calibri Light" w:cs="Calibri Light"/>
      <w:caps/>
      <w:sz w:val="28"/>
      <w:szCs w:val="28"/>
    </w:rPr>
  </w:style>
  <w:style w:type="paragraph" w:customStyle="1" w:styleId="afff8">
    <w:name w:val="Основной"/>
    <w:basedOn w:val="a9"/>
    <w:link w:val="afff9"/>
    <w:pPr>
      <w:spacing w:after="0"/>
      <w:ind w:left="0" w:firstLine="680"/>
    </w:pPr>
    <w:rPr>
      <w:rFonts w:eastAsia="Times New Roman" w:cs="Times New Roman"/>
      <w:szCs w:val="24"/>
      <w:lang w:val="zh-CN" w:eastAsia="ru-RU"/>
    </w:rPr>
  </w:style>
  <w:style w:type="character" w:customStyle="1" w:styleId="afff9">
    <w:name w:val="Основной Знак"/>
    <w:link w:val="afff8"/>
    <w:qFormat/>
    <w:locked/>
    <w:rPr>
      <w:rFonts w:ascii="Times New Roman" w:eastAsia="Times New Roman" w:hAnsi="Times New Roman" w:cs="Times New Roman"/>
      <w:sz w:val="24"/>
      <w:szCs w:val="24"/>
      <w:lang w:val="zh-CN" w:eastAsia="ru-RU"/>
    </w:rPr>
  </w:style>
  <w:style w:type="paragraph" w:customStyle="1" w:styleId="afffa">
    <w:name w:val="Знак Знак Знак Знак Знак Знак Знак Знак Знак Знак Знак Знак"/>
    <w:basedOn w:val="a0"/>
    <w:qFormat/>
    <w:pPr>
      <w:spacing w:after="160" w:line="240" w:lineRule="exact"/>
      <w:ind w:firstLine="0"/>
      <w:jc w:val="left"/>
    </w:pPr>
    <w:rPr>
      <w:rFonts w:ascii="Verdana" w:eastAsia="Times New Roman" w:hAnsi="Verdana" w:cs="Verdana"/>
      <w:sz w:val="20"/>
      <w:szCs w:val="20"/>
      <w:lang w:val="en-US"/>
    </w:rPr>
  </w:style>
  <w:style w:type="paragraph" w:customStyle="1" w:styleId="14">
    <w:name w:val="Абзац списка1"/>
    <w:basedOn w:val="a0"/>
    <w:qFormat/>
    <w:pPr>
      <w:spacing w:after="160" w:line="312" w:lineRule="auto"/>
      <w:ind w:left="720" w:firstLine="0"/>
      <w:jc w:val="left"/>
    </w:pPr>
    <w:rPr>
      <w:rFonts w:ascii="Calibri" w:eastAsia="Times New Roman" w:hAnsi="Calibri" w:cs="Calibri"/>
      <w:sz w:val="21"/>
      <w:szCs w:val="21"/>
    </w:rPr>
  </w:style>
  <w:style w:type="paragraph" w:customStyle="1" w:styleId="72">
    <w:name w:val="Знак7 Знак Знак Знак Знак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15">
    <w:name w:val="1"/>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ConsNormal">
    <w:name w:val="ConsNormal"/>
    <w:link w:val="ConsNormal0"/>
    <w:qFormat/>
    <w:pPr>
      <w:widowControl w:val="0"/>
      <w:autoSpaceDE w:val="0"/>
      <w:autoSpaceDN w:val="0"/>
      <w:adjustRightInd w:val="0"/>
      <w:ind w:right="19772" w:firstLine="720"/>
    </w:pPr>
    <w:rPr>
      <w:rFonts w:ascii="Arial" w:eastAsia="Times New Roman" w:hAnsi="Arial" w:cs="Arial"/>
    </w:rPr>
  </w:style>
  <w:style w:type="character" w:customStyle="1" w:styleId="16">
    <w:name w:val="Основной текст Знак1"/>
    <w:uiPriority w:val="99"/>
    <w:qFormat/>
    <w:locked/>
    <w:rPr>
      <w:rFonts w:ascii="Times New Roman" w:hAnsi="Times New Roman" w:cs="Times New Roman"/>
      <w:b/>
      <w:bCs/>
      <w:sz w:val="24"/>
      <w:szCs w:val="24"/>
      <w:lang w:val="zh-CN" w:eastAsia="ru-RU"/>
    </w:rPr>
  </w:style>
  <w:style w:type="paragraph" w:customStyle="1" w:styleId="ConsPlusNonformat">
    <w:name w:val="ConsPlusNonformat"/>
    <w:qFormat/>
    <w:pPr>
      <w:autoSpaceDE w:val="0"/>
      <w:autoSpaceDN w:val="0"/>
      <w:adjustRightInd w:val="0"/>
    </w:pPr>
    <w:rPr>
      <w:rFonts w:ascii="Courier New" w:eastAsia="Times New Roman" w:hAnsi="Courier New" w:cs="Courier New"/>
    </w:rPr>
  </w:style>
  <w:style w:type="character" w:customStyle="1" w:styleId="affb">
    <w:name w:val="Подзаголовок Знак"/>
    <w:link w:val="affa"/>
    <w:qFormat/>
    <w:locked/>
    <w:rPr>
      <w:rFonts w:cs="Times New Roman"/>
      <w:color w:val="000000"/>
      <w:sz w:val="24"/>
      <w:szCs w:val="24"/>
    </w:rPr>
  </w:style>
  <w:style w:type="character" w:customStyle="1" w:styleId="17">
    <w:name w:val="Подзаголовок Знак1"/>
    <w:basedOn w:val="a1"/>
    <w:rPr>
      <w:rFonts w:eastAsiaTheme="minorEastAsia"/>
      <w:color w:val="5A5A5A" w:themeColor="text1" w:themeTint="A5"/>
      <w:spacing w:val="15"/>
    </w:rPr>
  </w:style>
  <w:style w:type="character" w:customStyle="1" w:styleId="SubtitleChar1">
    <w:name w:val="Subtitle Char1"/>
    <w:qFormat/>
    <w:locked/>
    <w:rPr>
      <w:rFonts w:ascii="Cambria" w:hAnsi="Cambria" w:cs="Times New Roman"/>
      <w:sz w:val="24"/>
      <w:szCs w:val="24"/>
      <w:lang w:val="zh-CN" w:eastAsia="en-US"/>
    </w:rPr>
  </w:style>
  <w:style w:type="character" w:customStyle="1" w:styleId="23">
    <w:name w:val="Основной текст 2 Знак"/>
    <w:basedOn w:val="a1"/>
    <w:link w:val="22"/>
    <w:qFormat/>
    <w:rPr>
      <w:rFonts w:ascii="Times New Roman" w:eastAsia="Times New Roman" w:hAnsi="Times New Roman" w:cs="Times New Roman"/>
      <w:sz w:val="24"/>
      <w:szCs w:val="24"/>
      <w:lang w:val="zh-CN" w:eastAsia="ru-RU"/>
    </w:rPr>
  </w:style>
  <w:style w:type="character" w:customStyle="1" w:styleId="2b">
    <w:name w:val="Основной текст с отступом 2 Знак"/>
    <w:basedOn w:val="a1"/>
    <w:uiPriority w:val="99"/>
    <w:semiHidden/>
    <w:qFormat/>
    <w:rPr>
      <w:rFonts w:ascii="Times New Roman" w:hAnsi="Times New Roman"/>
      <w:sz w:val="24"/>
    </w:rPr>
  </w:style>
  <w:style w:type="character" w:customStyle="1" w:styleId="210">
    <w:name w:val="Основной текст с отступом 2 Знак1"/>
    <w:link w:val="24"/>
    <w:qFormat/>
    <w:locked/>
    <w:rPr>
      <w:rFonts w:ascii="Times New Roman" w:eastAsia="Times New Roman" w:hAnsi="Times New Roman" w:cs="Times New Roman"/>
      <w:sz w:val="24"/>
      <w:szCs w:val="24"/>
      <w:lang w:val="zh-CN" w:eastAsia="ru-RU"/>
    </w:rPr>
  </w:style>
  <w:style w:type="character" w:customStyle="1" w:styleId="editsection">
    <w:name w:val="editsection"/>
    <w:qFormat/>
    <w:rPr>
      <w:rFonts w:cs="Times New Roman"/>
    </w:rPr>
  </w:style>
  <w:style w:type="character" w:customStyle="1" w:styleId="mw-headline">
    <w:name w:val="mw-headline"/>
    <w:qFormat/>
    <w:rPr>
      <w:rFonts w:cs="Times New Roman"/>
    </w:rPr>
  </w:style>
  <w:style w:type="paragraph" w:customStyle="1" w:styleId="ConsPlusTitle">
    <w:name w:val="ConsPlusTitle"/>
    <w:pPr>
      <w:autoSpaceDE w:val="0"/>
      <w:autoSpaceDN w:val="0"/>
      <w:adjustRightInd w:val="0"/>
    </w:pPr>
    <w:rPr>
      <w:rFonts w:ascii="Arial" w:eastAsia="Times New Roman" w:hAnsi="Arial" w:cs="Arial"/>
      <w:b/>
      <w:bCs/>
    </w:rPr>
  </w:style>
  <w:style w:type="paragraph" w:customStyle="1" w:styleId="18">
    <w:name w:val="Стиль 1 пт"/>
    <w:basedOn w:val="a0"/>
    <w:next w:val="a0"/>
    <w:qFormat/>
    <w:pPr>
      <w:spacing w:line="360" w:lineRule="auto"/>
      <w:ind w:firstLine="567"/>
      <w:jc w:val="left"/>
    </w:pPr>
    <w:rPr>
      <w:rFonts w:ascii="Calibri" w:eastAsia="Times New Roman" w:hAnsi="Calibri" w:cs="Times New Roman"/>
      <w:sz w:val="2"/>
      <w:szCs w:val="2"/>
      <w:lang w:eastAsia="ru-RU"/>
    </w:rPr>
  </w:style>
  <w:style w:type="paragraph" w:customStyle="1" w:styleId="19">
    <w:name w:val="пт1"/>
    <w:basedOn w:val="a0"/>
    <w:next w:val="a0"/>
    <w:qFormat/>
    <w:pPr>
      <w:ind w:firstLine="540"/>
      <w:jc w:val="left"/>
    </w:pPr>
    <w:rPr>
      <w:rFonts w:ascii="Calibri" w:eastAsia="Times New Roman" w:hAnsi="Calibri" w:cs="Times New Roman"/>
      <w:sz w:val="2"/>
      <w:szCs w:val="2"/>
      <w:lang w:eastAsia="ru-RU"/>
    </w:rPr>
  </w:style>
  <w:style w:type="character" w:customStyle="1" w:styleId="aff6">
    <w:name w:val="Текст Знак"/>
    <w:basedOn w:val="a1"/>
    <w:link w:val="aff5"/>
    <w:qFormat/>
    <w:rPr>
      <w:rFonts w:ascii="Courier New" w:eastAsia="Times New Roman" w:hAnsi="Courier New" w:cs="Times New Roman"/>
      <w:sz w:val="20"/>
      <w:szCs w:val="20"/>
      <w:lang w:val="zh-CN" w:eastAsia="ru-RU"/>
    </w:rPr>
  </w:style>
  <w:style w:type="paragraph" w:customStyle="1" w:styleId="afffb">
    <w:name w:val="Рис"/>
    <w:basedOn w:val="a0"/>
    <w:qFormat/>
    <w:pPr>
      <w:shd w:val="clear" w:color="auto" w:fill="FFFFFF"/>
      <w:spacing w:after="200" w:line="276" w:lineRule="auto"/>
      <w:ind w:right="14" w:firstLine="0"/>
      <w:jc w:val="center"/>
      <w:outlineLvl w:val="5"/>
    </w:pPr>
    <w:rPr>
      <w:rFonts w:ascii="Calibri" w:eastAsia="Times New Roman" w:hAnsi="Calibri" w:cs="Times New Roman"/>
      <w:b/>
      <w:bCs/>
      <w:szCs w:val="24"/>
    </w:rPr>
  </w:style>
  <w:style w:type="paragraph" w:customStyle="1" w:styleId="PP">
    <w:name w:val="Строка PP"/>
    <w:basedOn w:val="aff7"/>
    <w:qFormat/>
  </w:style>
  <w:style w:type="character" w:customStyle="1" w:styleId="aff8">
    <w:name w:val="Подпись Знак"/>
    <w:basedOn w:val="a1"/>
    <w:link w:val="aff7"/>
    <w:qFormat/>
    <w:rPr>
      <w:rFonts w:ascii="Times New Roman" w:eastAsia="Times New Roman" w:hAnsi="Times New Roman" w:cs="Times New Roman"/>
      <w:sz w:val="24"/>
      <w:szCs w:val="24"/>
      <w:lang w:val="zh-CN" w:eastAsia="ru-RU"/>
    </w:rPr>
  </w:style>
  <w:style w:type="paragraph" w:customStyle="1" w:styleId="1a">
    <w:name w:val="Штамп1"/>
    <w:basedOn w:val="a0"/>
    <w:qFormat/>
    <w:pPr>
      <w:widowControl w:val="0"/>
      <w:ind w:firstLine="0"/>
      <w:jc w:val="center"/>
    </w:pPr>
    <w:rPr>
      <w:rFonts w:ascii="Calibri" w:eastAsia="Times New Roman" w:hAnsi="Calibri" w:cs="Times New Roman"/>
      <w:szCs w:val="24"/>
      <w:lang w:eastAsia="ru-RU"/>
    </w:rPr>
  </w:style>
  <w:style w:type="paragraph" w:customStyle="1" w:styleId="1b">
    <w:name w:val="Без интервала1"/>
    <w:link w:val="NoSpacingChar"/>
    <w:qFormat/>
    <w:rPr>
      <w:rFonts w:ascii="Calibri" w:eastAsia="Times New Roman" w:hAnsi="Calibri" w:cs="Calibri"/>
      <w:sz w:val="21"/>
      <w:szCs w:val="21"/>
      <w:lang w:eastAsia="en-US"/>
    </w:rPr>
  </w:style>
  <w:style w:type="character" w:customStyle="1" w:styleId="NoSpacingChar">
    <w:name w:val="No Spacing Char"/>
    <w:link w:val="1b"/>
    <w:qFormat/>
    <w:locked/>
    <w:rPr>
      <w:rFonts w:ascii="Calibri" w:eastAsia="Times New Roman" w:hAnsi="Calibri" w:cs="Calibri"/>
      <w:sz w:val="21"/>
      <w:szCs w:val="21"/>
    </w:rPr>
  </w:style>
  <w:style w:type="paragraph" w:customStyle="1" w:styleId="afffc">
    <w:name w:val="Содержимое таблицы"/>
    <w:basedOn w:val="a0"/>
    <w:qFormat/>
    <w:pPr>
      <w:widowControl w:val="0"/>
      <w:suppressLineNumbers/>
      <w:suppressAutoHyphens/>
      <w:ind w:firstLine="0"/>
      <w:jc w:val="left"/>
    </w:pPr>
    <w:rPr>
      <w:rFonts w:ascii="Arial" w:eastAsia="Arial Unicode MS" w:hAnsi="Arial" w:cs="Arial"/>
      <w:kern w:val="1"/>
      <w:sz w:val="20"/>
      <w:szCs w:val="20"/>
      <w:lang w:eastAsia="ru-RU"/>
    </w:rPr>
  </w:style>
  <w:style w:type="paragraph" w:customStyle="1" w:styleId="Text">
    <w:name w:val="Text"/>
    <w:basedOn w:val="a0"/>
    <w:link w:val="Text0"/>
    <w:qFormat/>
    <w:pPr>
      <w:overflowPunct w:val="0"/>
      <w:autoSpaceDE w:val="0"/>
      <w:autoSpaceDN w:val="0"/>
      <w:adjustRightInd w:val="0"/>
      <w:spacing w:before="220"/>
      <w:ind w:firstLine="0"/>
      <w:textAlignment w:val="baseline"/>
    </w:pPr>
    <w:rPr>
      <w:rFonts w:eastAsia="Times New Roman" w:cs="Times New Roman"/>
      <w:szCs w:val="24"/>
      <w:lang w:val="zh-CN" w:eastAsia="zh-CN"/>
    </w:rPr>
  </w:style>
  <w:style w:type="character" w:customStyle="1" w:styleId="Text0">
    <w:name w:val="Text Знак"/>
    <w:link w:val="Text"/>
    <w:qFormat/>
    <w:locked/>
    <w:rPr>
      <w:rFonts w:ascii="Times New Roman" w:eastAsia="Times New Roman" w:hAnsi="Times New Roman" w:cs="Times New Roman"/>
      <w:sz w:val="24"/>
      <w:szCs w:val="24"/>
      <w:lang w:val="zh-CN" w:eastAsia="zh-CN"/>
    </w:rPr>
  </w:style>
  <w:style w:type="paragraph" w:customStyle="1" w:styleId="afffd">
    <w:name w:val="Без отступов"/>
    <w:basedOn w:val="a0"/>
    <w:next w:val="a0"/>
    <w:qFormat/>
    <w:pPr>
      <w:suppressAutoHyphens/>
      <w:spacing w:before="240" w:after="120"/>
      <w:ind w:firstLine="0"/>
      <w:jc w:val="center"/>
    </w:pPr>
    <w:rPr>
      <w:rFonts w:ascii="Calibri" w:eastAsia="Times New Roman" w:hAnsi="Calibri" w:cs="Times New Roman"/>
      <w:b/>
      <w:bCs/>
      <w:szCs w:val="24"/>
      <w:lang w:eastAsia="ru-RU"/>
    </w:rPr>
  </w:style>
  <w:style w:type="paragraph" w:customStyle="1" w:styleId="afffe">
    <w:name w:val="Без отступов для рис"/>
    <w:basedOn w:val="a0"/>
    <w:next w:val="a0"/>
    <w:link w:val="affff"/>
    <w:qFormat/>
    <w:pPr>
      <w:spacing w:before="120" w:after="120"/>
      <w:ind w:firstLine="0"/>
      <w:jc w:val="center"/>
    </w:pPr>
    <w:rPr>
      <w:rFonts w:eastAsia="Times New Roman" w:cs="Times New Roman"/>
      <w:sz w:val="20"/>
      <w:szCs w:val="20"/>
      <w:lang w:val="zh-CN" w:eastAsia="ru-RU"/>
    </w:rPr>
  </w:style>
  <w:style w:type="character" w:customStyle="1" w:styleId="affff">
    <w:name w:val="Без отступов для рис Знак"/>
    <w:link w:val="afffe"/>
    <w:qFormat/>
    <w:locked/>
    <w:rPr>
      <w:rFonts w:ascii="Times New Roman" w:eastAsia="Times New Roman" w:hAnsi="Times New Roman" w:cs="Times New Roman"/>
      <w:sz w:val="20"/>
      <w:szCs w:val="20"/>
      <w:lang w:val="zh-CN" w:eastAsia="ru-RU"/>
    </w:rPr>
  </w:style>
  <w:style w:type="character" w:customStyle="1" w:styleId="affe">
    <w:name w:val="Заголовок Знак"/>
    <w:basedOn w:val="a1"/>
    <w:link w:val="affd"/>
    <w:qFormat/>
    <w:rPr>
      <w:rFonts w:ascii="Calibri Light" w:eastAsia="Times New Roman" w:hAnsi="Calibri Light" w:cs="Times New Roman"/>
      <w:caps/>
      <w:spacing w:val="40"/>
      <w:sz w:val="76"/>
      <w:szCs w:val="76"/>
      <w:lang w:val="zh-CN" w:eastAsia="zh-CN"/>
    </w:rPr>
  </w:style>
  <w:style w:type="character" w:customStyle="1" w:styleId="1c">
    <w:name w:val="Название Знак1"/>
    <w:qFormat/>
    <w:rPr>
      <w:rFonts w:ascii="Arial" w:hAnsi="Arial" w:cs="Arial"/>
      <w:b/>
      <w:bCs/>
      <w:kern w:val="28"/>
      <w:sz w:val="20"/>
      <w:szCs w:val="20"/>
      <w:lang w:val="zh-CN" w:eastAsia="ru-RU"/>
    </w:rPr>
  </w:style>
  <w:style w:type="paragraph" w:customStyle="1" w:styleId="affff0">
    <w:name w:val="Примечание"/>
    <w:basedOn w:val="a0"/>
    <w:next w:val="a0"/>
    <w:qFormat/>
    <w:rPr>
      <w:rFonts w:ascii="Arial" w:eastAsia="Times New Roman" w:hAnsi="Arial" w:cs="Arial"/>
      <w:sz w:val="20"/>
      <w:szCs w:val="20"/>
      <w:lang w:eastAsia="ru-RU"/>
    </w:rPr>
  </w:style>
  <w:style w:type="paragraph" w:customStyle="1" w:styleId="1d">
    <w:name w:val="Обычный1"/>
    <w:qFormat/>
    <w:pPr>
      <w:snapToGrid w:val="0"/>
    </w:pPr>
    <w:rPr>
      <w:rFonts w:ascii="Calibri" w:eastAsia="Times New Roman" w:hAnsi="Calibri"/>
      <w:sz w:val="21"/>
      <w:szCs w:val="21"/>
    </w:rPr>
  </w:style>
  <w:style w:type="paragraph" w:customStyle="1" w:styleId="Heading">
    <w:name w:val="Heading"/>
    <w:qFormat/>
    <w:pPr>
      <w:widowControl w:val="0"/>
      <w:autoSpaceDE w:val="0"/>
      <w:autoSpaceDN w:val="0"/>
      <w:adjustRightInd w:val="0"/>
    </w:pPr>
    <w:rPr>
      <w:rFonts w:ascii="Arial" w:eastAsia="Times New Roman" w:hAnsi="Arial" w:cs="Arial"/>
      <w:b/>
      <w:bCs/>
      <w:sz w:val="21"/>
      <w:szCs w:val="21"/>
    </w:rPr>
  </w:style>
  <w:style w:type="character" w:customStyle="1" w:styleId="32">
    <w:name w:val="Основной текст 3 Знак"/>
    <w:basedOn w:val="a1"/>
    <w:link w:val="31"/>
    <w:qFormat/>
    <w:rPr>
      <w:rFonts w:ascii="Times New Roman" w:eastAsia="Times New Roman" w:hAnsi="Times New Roman" w:cs="Times New Roman"/>
      <w:sz w:val="16"/>
      <w:szCs w:val="16"/>
      <w:lang w:val="zh-CN" w:eastAsia="ru-RU"/>
    </w:rPr>
  </w:style>
  <w:style w:type="character" w:customStyle="1" w:styleId="Text1">
    <w:name w:val="Text Знак Знак"/>
    <w:qFormat/>
    <w:rPr>
      <w:rFonts w:cs="Times New Roman"/>
      <w:sz w:val="24"/>
      <w:szCs w:val="24"/>
      <w:lang w:val="ru-RU" w:eastAsia="en-US"/>
    </w:rPr>
  </w:style>
  <w:style w:type="paragraph" w:customStyle="1" w:styleId="affff1">
    <w:name w:val="Стиль пункта схемы"/>
    <w:basedOn w:val="a0"/>
    <w:qFormat/>
    <w:pPr>
      <w:autoSpaceDE w:val="0"/>
      <w:autoSpaceDN w:val="0"/>
      <w:adjustRightInd w:val="0"/>
      <w:spacing w:line="360" w:lineRule="auto"/>
      <w:ind w:firstLine="680"/>
    </w:pPr>
    <w:rPr>
      <w:rFonts w:ascii="Calibri" w:eastAsia="Times New Roman" w:hAnsi="Calibri" w:cs="Times New Roman"/>
      <w:sz w:val="28"/>
      <w:szCs w:val="28"/>
      <w:lang w:eastAsia="ru-RU"/>
    </w:rPr>
  </w:style>
  <w:style w:type="character" w:customStyle="1" w:styleId="FontStyle184">
    <w:name w:val="Font Style184"/>
    <w:qFormat/>
    <w:rPr>
      <w:rFonts w:ascii="Times New Roman" w:hAnsi="Times New Roman" w:cs="Times New Roman"/>
      <w:sz w:val="22"/>
      <w:szCs w:val="22"/>
    </w:rPr>
  </w:style>
  <w:style w:type="character" w:customStyle="1" w:styleId="110">
    <w:name w:val="Знак Знак11"/>
    <w:qFormat/>
    <w:rPr>
      <w:rFonts w:ascii="Cambria" w:hAnsi="Cambria" w:cs="Cambria"/>
      <w:b/>
      <w:bCs/>
      <w:sz w:val="26"/>
      <w:szCs w:val="26"/>
    </w:rPr>
  </w:style>
  <w:style w:type="character" w:customStyle="1" w:styleId="82">
    <w:name w:val="Знак Знак8"/>
    <w:qFormat/>
    <w:rPr>
      <w:rFonts w:ascii="Cambria" w:hAnsi="Cambria" w:cs="Cambria"/>
      <w:b/>
      <w:bCs/>
      <w:color w:val="auto"/>
    </w:rPr>
  </w:style>
  <w:style w:type="paragraph" w:customStyle="1" w:styleId="212">
    <w:name w:val="Цитата 21"/>
    <w:basedOn w:val="a0"/>
    <w:next w:val="a0"/>
    <w:link w:val="QuoteChar"/>
    <w:qFormat/>
    <w:pPr>
      <w:spacing w:before="160" w:after="160" w:line="312" w:lineRule="auto"/>
      <w:ind w:left="720" w:firstLine="0"/>
      <w:jc w:val="left"/>
    </w:pPr>
    <w:rPr>
      <w:rFonts w:ascii="Calibri Light" w:eastAsia="Times New Roman" w:hAnsi="Calibri Light" w:cs="Times New Roman"/>
      <w:szCs w:val="24"/>
      <w:lang w:val="zh-CN" w:eastAsia="zh-CN"/>
    </w:rPr>
  </w:style>
  <w:style w:type="character" w:customStyle="1" w:styleId="QuoteChar">
    <w:name w:val="Quote Char"/>
    <w:link w:val="212"/>
    <w:qFormat/>
    <w:locked/>
    <w:rPr>
      <w:rFonts w:ascii="Calibri Light" w:eastAsia="Times New Roman" w:hAnsi="Calibri Light" w:cs="Times New Roman"/>
      <w:sz w:val="24"/>
      <w:szCs w:val="24"/>
      <w:lang w:val="zh-CN" w:eastAsia="zh-CN"/>
    </w:rPr>
  </w:style>
  <w:style w:type="paragraph" w:customStyle="1" w:styleId="1e">
    <w:name w:val="Выделенная цитата1"/>
    <w:basedOn w:val="a0"/>
    <w:next w:val="a0"/>
    <w:link w:val="IntenseQuoteChar"/>
    <w:qFormat/>
    <w:pPr>
      <w:spacing w:before="100" w:beforeAutospacing="1" w:after="240" w:line="312" w:lineRule="auto"/>
      <w:ind w:left="936" w:right="936" w:firstLine="0"/>
      <w:jc w:val="center"/>
    </w:pPr>
    <w:rPr>
      <w:rFonts w:ascii="Calibri Light" w:eastAsia="Times New Roman" w:hAnsi="Calibri Light" w:cs="Times New Roman"/>
      <w:caps/>
      <w:color w:val="C45911"/>
      <w:spacing w:val="10"/>
      <w:sz w:val="28"/>
      <w:szCs w:val="28"/>
      <w:lang w:val="zh-CN" w:eastAsia="zh-CN"/>
    </w:rPr>
  </w:style>
  <w:style w:type="character" w:customStyle="1" w:styleId="IntenseQuoteChar">
    <w:name w:val="Intense Quote Char"/>
    <w:link w:val="1e"/>
    <w:qFormat/>
    <w:locked/>
    <w:rPr>
      <w:rFonts w:ascii="Calibri Light" w:eastAsia="Times New Roman" w:hAnsi="Calibri Light" w:cs="Times New Roman"/>
      <w:caps/>
      <w:color w:val="C45911"/>
      <w:spacing w:val="10"/>
      <w:sz w:val="28"/>
      <w:szCs w:val="28"/>
      <w:lang w:val="zh-CN" w:eastAsia="zh-CN"/>
    </w:rPr>
  </w:style>
  <w:style w:type="character" w:customStyle="1" w:styleId="1f">
    <w:name w:val="Слабое выделение1"/>
    <w:qFormat/>
    <w:rPr>
      <w:rFonts w:cs="Times New Roman"/>
      <w:i/>
      <w:iCs/>
      <w:color w:val="auto"/>
    </w:rPr>
  </w:style>
  <w:style w:type="character" w:customStyle="1" w:styleId="1f0">
    <w:name w:val="Сильное выделение1"/>
    <w:qFormat/>
    <w:rPr>
      <w:rFonts w:ascii="Calibri" w:hAnsi="Calibri" w:cs="Calibri"/>
      <w:b/>
      <w:bCs/>
      <w:i/>
      <w:iCs/>
      <w:color w:val="C45911"/>
      <w:spacing w:val="0"/>
      <w:w w:val="100"/>
      <w:position w:val="0"/>
      <w:sz w:val="20"/>
      <w:szCs w:val="20"/>
    </w:rPr>
  </w:style>
  <w:style w:type="character" w:customStyle="1" w:styleId="1f1">
    <w:name w:val="Слабая ссылка1"/>
    <w:qFormat/>
    <w:rPr>
      <w:rFonts w:ascii="Calibri" w:hAnsi="Calibri" w:cs="Calibri"/>
      <w:smallCaps/>
      <w:color w:val="auto"/>
      <w:spacing w:val="10"/>
      <w:w w:val="100"/>
      <w:sz w:val="20"/>
      <w:szCs w:val="20"/>
      <w:u w:val="single"/>
    </w:rPr>
  </w:style>
  <w:style w:type="character" w:customStyle="1" w:styleId="1f2">
    <w:name w:val="Сильная ссылка1"/>
    <w:qFormat/>
    <w:rPr>
      <w:rFonts w:ascii="Calibri" w:hAnsi="Calibri" w:cs="Calibri"/>
      <w:b/>
      <w:bCs/>
      <w:smallCaps/>
      <w:color w:val="auto"/>
      <w:spacing w:val="10"/>
      <w:w w:val="100"/>
      <w:position w:val="0"/>
      <w:sz w:val="20"/>
      <w:szCs w:val="20"/>
      <w:u w:val="single"/>
    </w:rPr>
  </w:style>
  <w:style w:type="character" w:customStyle="1" w:styleId="1f3">
    <w:name w:val="Название книги1"/>
    <w:qFormat/>
    <w:rPr>
      <w:rFonts w:ascii="Calibri" w:hAnsi="Calibri" w:cs="Calibri"/>
      <w:b/>
      <w:bCs/>
      <w:i/>
      <w:iCs/>
      <w:color w:val="auto"/>
      <w:spacing w:val="10"/>
      <w:w w:val="100"/>
      <w:sz w:val="20"/>
      <w:szCs w:val="20"/>
    </w:rPr>
  </w:style>
  <w:style w:type="paragraph" w:customStyle="1" w:styleId="ConsTitle">
    <w:name w:val="ConsTitle"/>
    <w:qFormat/>
    <w:pPr>
      <w:widowControl w:val="0"/>
      <w:autoSpaceDE w:val="0"/>
      <w:autoSpaceDN w:val="0"/>
      <w:adjustRightInd w:val="0"/>
      <w:ind w:right="19772"/>
    </w:pPr>
    <w:rPr>
      <w:rFonts w:ascii="Arial" w:eastAsia="Times New Roman" w:hAnsi="Arial" w:cs="Arial"/>
      <w:b/>
      <w:bCs/>
      <w:sz w:val="16"/>
      <w:szCs w:val="16"/>
    </w:rPr>
  </w:style>
  <w:style w:type="paragraph" w:customStyle="1" w:styleId="affff2">
    <w:name w:val="Основной стиль"/>
    <w:basedOn w:val="a0"/>
    <w:qFormat/>
    <w:pPr>
      <w:ind w:firstLine="680"/>
    </w:pPr>
    <w:rPr>
      <w:rFonts w:ascii="Arial" w:eastAsia="Times New Roman" w:hAnsi="Arial" w:cs="Arial"/>
      <w:szCs w:val="24"/>
      <w:lang w:eastAsia="ru-RU"/>
    </w:rPr>
  </w:style>
  <w:style w:type="paragraph" w:customStyle="1" w:styleId="-2">
    <w:name w:val="Заголовок-2"/>
    <w:basedOn w:val="a0"/>
    <w:link w:val="-20"/>
    <w:qFormat/>
    <w:pPr>
      <w:overflowPunct w:val="0"/>
      <w:autoSpaceDE w:val="0"/>
      <w:autoSpaceDN w:val="0"/>
      <w:adjustRightInd w:val="0"/>
      <w:spacing w:before="120" w:after="120"/>
      <w:ind w:firstLine="0"/>
      <w:jc w:val="left"/>
      <w:textAlignment w:val="baseline"/>
    </w:pPr>
    <w:rPr>
      <w:rFonts w:eastAsia="Times New Roman" w:cs="Times New Roman"/>
      <w:b/>
      <w:bCs/>
      <w:sz w:val="20"/>
      <w:szCs w:val="20"/>
      <w:lang w:val="zh-CN" w:eastAsia="zh-CN"/>
    </w:rPr>
  </w:style>
  <w:style w:type="character" w:customStyle="1" w:styleId="-20">
    <w:name w:val="Заголовок-2 Знак"/>
    <w:link w:val="-2"/>
    <w:qFormat/>
    <w:locked/>
    <w:rPr>
      <w:rFonts w:ascii="Times New Roman" w:eastAsia="Times New Roman" w:hAnsi="Times New Roman" w:cs="Times New Roman"/>
      <w:b/>
      <w:bCs/>
      <w:sz w:val="20"/>
      <w:szCs w:val="20"/>
      <w:lang w:val="zh-CN" w:eastAsia="zh-CN"/>
    </w:rPr>
  </w:style>
  <w:style w:type="paragraph" w:customStyle="1" w:styleId="u">
    <w:name w:val="u"/>
    <w:basedOn w:val="a0"/>
    <w:qFormat/>
    <w:pPr>
      <w:spacing w:before="100" w:beforeAutospacing="1" w:after="100" w:afterAutospacing="1"/>
      <w:ind w:firstLine="0"/>
      <w:jc w:val="left"/>
    </w:pPr>
    <w:rPr>
      <w:rFonts w:ascii="Calibri" w:eastAsia="Times New Roman" w:hAnsi="Calibri" w:cs="Times New Roman"/>
      <w:szCs w:val="24"/>
      <w:lang w:eastAsia="ru-RU"/>
    </w:rPr>
  </w:style>
  <w:style w:type="character" w:customStyle="1" w:styleId="apple-style-span">
    <w:name w:val="apple-style-span"/>
    <w:qFormat/>
    <w:rPr>
      <w:rFonts w:cs="Times New Roman"/>
    </w:rPr>
  </w:style>
  <w:style w:type="paragraph" w:customStyle="1" w:styleId="111">
    <w:name w:val="Знак Знак1 Знак1"/>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CharChar1CharCharCharChar">
    <w:name w:val="Знак Char Char Знак Знак Знак Знак Знак Знак1 Знак Char Char Знак Char Char Знак Знак Знак Знак"/>
    <w:basedOn w:val="a0"/>
    <w:qFormat/>
    <w:pPr>
      <w:spacing w:before="100" w:beforeAutospacing="1" w:after="100" w:afterAutospacing="1"/>
      <w:ind w:firstLine="0"/>
    </w:pPr>
    <w:rPr>
      <w:rFonts w:ascii="Tahoma" w:eastAsia="Times New Roman" w:hAnsi="Tahoma" w:cs="Tahoma"/>
      <w:sz w:val="20"/>
      <w:szCs w:val="20"/>
      <w:lang w:val="en-US"/>
    </w:rPr>
  </w:style>
  <w:style w:type="paragraph" w:customStyle="1" w:styleId="map-tools">
    <w:name w:val="map-tools"/>
    <w:basedOn w:val="a0"/>
    <w:qFormat/>
    <w:pPr>
      <w:spacing w:before="100" w:beforeAutospacing="1" w:after="100" w:afterAutospacing="1"/>
      <w:ind w:firstLine="0"/>
      <w:jc w:val="left"/>
    </w:pPr>
    <w:rPr>
      <w:rFonts w:ascii="Verdana" w:eastAsia="Times New Roman" w:hAnsi="Verdana" w:cs="Verdana"/>
      <w:color w:val="797C80"/>
      <w:sz w:val="17"/>
      <w:szCs w:val="17"/>
      <w:lang w:eastAsia="ru-RU"/>
    </w:rPr>
  </w:style>
  <w:style w:type="paragraph" w:customStyle="1" w:styleId="affff3">
    <w:name w:val="Знак Знак Знак Знак Знак Знак Знак Знак Знак Знак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92">
    <w:name w:val="Знак9"/>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1">
    <w:name w:val="Заголовок-1"/>
    <w:basedOn w:val="a0"/>
    <w:link w:val="-10"/>
    <w:qFormat/>
    <w:pPr>
      <w:overflowPunct w:val="0"/>
      <w:autoSpaceDE w:val="0"/>
      <w:autoSpaceDN w:val="0"/>
      <w:adjustRightInd w:val="0"/>
      <w:spacing w:before="240" w:after="120"/>
      <w:ind w:firstLine="0"/>
      <w:jc w:val="left"/>
      <w:textAlignment w:val="baseline"/>
    </w:pPr>
    <w:rPr>
      <w:rFonts w:eastAsia="Times New Roman" w:cs="Times New Roman"/>
      <w:b/>
      <w:bCs/>
      <w:sz w:val="20"/>
      <w:szCs w:val="20"/>
      <w:lang w:val="zh-CN" w:eastAsia="zh-CN"/>
    </w:rPr>
  </w:style>
  <w:style w:type="character" w:customStyle="1" w:styleId="-10">
    <w:name w:val="Заголовок-1 Знак"/>
    <w:link w:val="-1"/>
    <w:qFormat/>
    <w:locked/>
    <w:rPr>
      <w:rFonts w:ascii="Times New Roman" w:eastAsia="Times New Roman" w:hAnsi="Times New Roman" w:cs="Times New Roman"/>
      <w:b/>
      <w:bCs/>
      <w:sz w:val="20"/>
      <w:szCs w:val="20"/>
      <w:lang w:val="zh-CN" w:eastAsia="zh-CN"/>
    </w:rPr>
  </w:style>
  <w:style w:type="paragraph" w:customStyle="1" w:styleId="affff4">
    <w:name w:val="ПодписьЖирная"/>
    <w:basedOn w:val="a0"/>
    <w:next w:val="a0"/>
    <w:qFormat/>
    <w:pPr>
      <w:spacing w:line="360" w:lineRule="auto"/>
      <w:ind w:left="5760" w:firstLine="0"/>
      <w:jc w:val="right"/>
    </w:pPr>
    <w:rPr>
      <w:rFonts w:ascii="Calibri" w:eastAsia="Times New Roman" w:hAnsi="Calibri" w:cs="Times New Roman"/>
      <w:b/>
      <w:bCs/>
      <w:szCs w:val="24"/>
      <w:lang w:eastAsia="ru-RU"/>
    </w:rPr>
  </w:style>
  <w:style w:type="paragraph" w:customStyle="1" w:styleId="affff5">
    <w:name w:val="ПодписьДолжность"/>
    <w:basedOn w:val="a0"/>
    <w:next w:val="affff4"/>
    <w:qFormat/>
    <w:pPr>
      <w:ind w:left="5760" w:firstLine="0"/>
      <w:jc w:val="center"/>
    </w:pPr>
    <w:rPr>
      <w:rFonts w:ascii="Calibri" w:eastAsia="Times New Roman" w:hAnsi="Calibri" w:cs="Times New Roman"/>
      <w:b/>
      <w:bCs/>
      <w:szCs w:val="24"/>
      <w:lang w:eastAsia="ru-RU"/>
    </w:rPr>
  </w:style>
  <w:style w:type="paragraph" w:customStyle="1" w:styleId="affff6">
    <w:name w:val="НИЦ"/>
    <w:basedOn w:val="a0"/>
    <w:next w:val="a0"/>
    <w:qFormat/>
    <w:pPr>
      <w:spacing w:after="600"/>
      <w:ind w:firstLine="0"/>
      <w:jc w:val="center"/>
    </w:pPr>
    <w:rPr>
      <w:rFonts w:ascii="Calibri" w:eastAsia="Times New Roman" w:hAnsi="Calibri" w:cs="Times New Roman"/>
      <w:b/>
      <w:bCs/>
      <w:szCs w:val="24"/>
      <w:lang w:eastAsia="ru-RU"/>
    </w:rPr>
  </w:style>
  <w:style w:type="paragraph" w:customStyle="1" w:styleId="0">
    <w:name w:val="ТитулЗнак0"/>
    <w:basedOn w:val="a0"/>
    <w:qFormat/>
    <w:pPr>
      <w:spacing w:before="2000" w:after="560"/>
      <w:ind w:firstLine="0"/>
      <w:jc w:val="center"/>
    </w:pPr>
    <w:rPr>
      <w:rFonts w:ascii="Calibri" w:eastAsia="Times New Roman" w:hAnsi="Calibri" w:cs="Times New Roman"/>
      <w:szCs w:val="24"/>
      <w:lang w:eastAsia="ru-RU"/>
    </w:rPr>
  </w:style>
  <w:style w:type="paragraph" w:customStyle="1" w:styleId="affff7">
    <w:name w:val="Дата_Подпись"/>
    <w:basedOn w:val="a0"/>
    <w:next w:val="a0"/>
    <w:qFormat/>
    <w:pPr>
      <w:spacing w:line="360" w:lineRule="auto"/>
      <w:ind w:left="5760" w:firstLine="0"/>
      <w:jc w:val="left"/>
    </w:pPr>
    <w:rPr>
      <w:rFonts w:ascii="Calibri" w:eastAsia="Times New Roman" w:hAnsi="Calibri" w:cs="Times New Roman"/>
      <w:b/>
      <w:bCs/>
      <w:szCs w:val="24"/>
      <w:lang w:eastAsia="ru-RU"/>
    </w:rPr>
  </w:style>
  <w:style w:type="character" w:customStyle="1" w:styleId="1f4">
    <w:name w:val="ТитулЗнак1"/>
    <w:qFormat/>
    <w:rPr>
      <w:rFonts w:ascii="Times New Roman" w:hAnsi="Times New Roman"/>
      <w:b/>
      <w:sz w:val="28"/>
    </w:rPr>
  </w:style>
  <w:style w:type="paragraph" w:customStyle="1" w:styleId="93">
    <w:name w:val="Знак9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affff8">
    <w:name w:val="ОБЫЧН_ТЕКСТ"/>
    <w:basedOn w:val="a0"/>
    <w:link w:val="affff9"/>
    <w:qFormat/>
    <w:pPr>
      <w:widowControl w:val="0"/>
      <w:autoSpaceDE w:val="0"/>
      <w:autoSpaceDN w:val="0"/>
      <w:adjustRightInd w:val="0"/>
      <w:spacing w:before="120"/>
    </w:pPr>
    <w:rPr>
      <w:rFonts w:eastAsia="Times New Roman" w:cs="Times New Roman"/>
      <w:sz w:val="20"/>
      <w:szCs w:val="20"/>
      <w:lang w:val="zh-CN" w:eastAsia="ru-RU"/>
    </w:rPr>
  </w:style>
  <w:style w:type="character" w:customStyle="1" w:styleId="affff9">
    <w:name w:val="ОБЫЧН_ТЕКСТ Знак"/>
    <w:link w:val="affff8"/>
    <w:qFormat/>
    <w:locked/>
    <w:rPr>
      <w:rFonts w:ascii="Times New Roman" w:eastAsia="Times New Roman" w:hAnsi="Times New Roman" w:cs="Times New Roman"/>
      <w:sz w:val="20"/>
      <w:szCs w:val="20"/>
      <w:lang w:val="zh-CN" w:eastAsia="ru-RU"/>
    </w:rPr>
  </w:style>
  <w:style w:type="paragraph" w:customStyle="1" w:styleId="42">
    <w:name w:val="Знак4 Знак Знак Знак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character" w:customStyle="1" w:styleId="94">
    <w:name w:val="Знак Знак9"/>
    <w:qFormat/>
    <w:locked/>
    <w:rPr>
      <w:rFonts w:cs="Times New Roman"/>
      <w:b/>
      <w:bCs/>
      <w:sz w:val="24"/>
      <w:szCs w:val="24"/>
      <w:lang w:val="ru-RU" w:eastAsia="ru-RU"/>
    </w:rPr>
  </w:style>
  <w:style w:type="paragraph" w:customStyle="1" w:styleId="83">
    <w:name w:val="Знак8"/>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410">
    <w:name w:val="Знак4 Знак Знак Знак Знак Знак Знак Знак Знак Знак1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84">
    <w:name w:val="Знак8 Знак Знак Знак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character" w:customStyle="1" w:styleId="affffa">
    <w:name w:val="ОБЫЧН_ТЕКСТ Знак Знак"/>
    <w:qFormat/>
    <w:rPr>
      <w:rFonts w:cs="Times New Roman"/>
      <w:sz w:val="26"/>
      <w:szCs w:val="26"/>
      <w:lang w:val="ru-RU" w:eastAsia="ru-RU"/>
    </w:rPr>
  </w:style>
  <w:style w:type="paragraph" w:customStyle="1" w:styleId="85">
    <w:name w:val="Знак8 Знак Знак Знак Знак Знак Знак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86">
    <w:name w:val="Знак8 Знак Знак Знак Знак Знак Знак Знак Знак Знак Знак Знак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paragraph" w:customStyle="1" w:styleId="52">
    <w:name w:val="Знак5"/>
    <w:basedOn w:val="a0"/>
    <w:qFormat/>
    <w:pPr>
      <w:widowControl w:val="0"/>
      <w:autoSpaceDE w:val="0"/>
      <w:autoSpaceDN w:val="0"/>
      <w:adjustRightInd w:val="0"/>
      <w:spacing w:after="160" w:line="240" w:lineRule="exact"/>
      <w:ind w:firstLine="0"/>
    </w:pPr>
    <w:rPr>
      <w:rFonts w:ascii="Arial" w:eastAsia="MS Mincho" w:hAnsi="Arial" w:cs="Arial"/>
      <w:b/>
      <w:bCs/>
      <w:sz w:val="20"/>
      <w:szCs w:val="20"/>
      <w:lang w:val="en-US" w:eastAsia="de-DE"/>
    </w:rPr>
  </w:style>
  <w:style w:type="character" w:customStyle="1" w:styleId="a5">
    <w:name w:val="Текст выноски Знак"/>
    <w:basedOn w:val="a1"/>
    <w:link w:val="a4"/>
    <w:qFormat/>
    <w:rPr>
      <w:rFonts w:ascii="Tahoma" w:eastAsia="Times New Roman" w:hAnsi="Tahoma" w:cs="Times New Roman"/>
      <w:sz w:val="16"/>
      <w:szCs w:val="16"/>
      <w:lang w:val="zh-CN" w:eastAsia="ru-RU"/>
    </w:rPr>
  </w:style>
  <w:style w:type="paragraph" w:customStyle="1" w:styleId="213">
    <w:name w:val="Основной текст с отступом 21"/>
    <w:basedOn w:val="a0"/>
    <w:qFormat/>
    <w:pPr>
      <w:suppressAutoHyphens/>
      <w:spacing w:after="120" w:line="480" w:lineRule="auto"/>
      <w:ind w:left="283" w:firstLine="0"/>
      <w:jc w:val="left"/>
    </w:pPr>
    <w:rPr>
      <w:rFonts w:ascii="Calibri" w:eastAsia="Times New Roman" w:hAnsi="Calibri" w:cs="Times New Roman"/>
      <w:szCs w:val="24"/>
      <w:lang w:eastAsia="ar-SA"/>
    </w:rPr>
  </w:style>
  <w:style w:type="paragraph" w:customStyle="1" w:styleId="112">
    <w:name w:val="Заголовок оглавления11"/>
    <w:basedOn w:val="1"/>
    <w:next w:val="a0"/>
    <w:qFormat/>
    <w:pPr>
      <w:pageBreakBefore w:val="0"/>
      <w:pBdr>
        <w:left w:val="single" w:sz="12" w:space="12" w:color="ED7D31"/>
      </w:pBdr>
      <w:spacing w:before="80" w:after="80"/>
      <w:ind w:firstLine="0"/>
      <w:jc w:val="left"/>
      <w:outlineLvl w:val="9"/>
    </w:pPr>
    <w:rPr>
      <w:rFonts w:ascii="Calibri Light" w:eastAsia="Times New Roman" w:hAnsi="Calibri Light" w:cs="Times New Roman"/>
      <w:b w:val="0"/>
      <w:caps/>
      <w:spacing w:val="10"/>
      <w:sz w:val="36"/>
      <w:szCs w:val="36"/>
      <w:lang w:val="zh-CN" w:eastAsia="zh-CN"/>
    </w:rPr>
  </w:style>
  <w:style w:type="table" w:customStyle="1" w:styleId="1f5">
    <w:name w:val="Сетка таблицы1"/>
    <w:qFormat/>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Знак8 Знак Знак Знак Знак Знак Знак Знак Знак Знак1 Знак Знак Знак"/>
    <w:basedOn w:val="a0"/>
    <w:qFormat/>
    <w:pPr>
      <w:widowControl w:val="0"/>
      <w:adjustRightInd w:val="0"/>
      <w:spacing w:after="160" w:line="240" w:lineRule="exact"/>
      <w:ind w:firstLine="0"/>
      <w:jc w:val="right"/>
    </w:pPr>
    <w:rPr>
      <w:rFonts w:ascii="Calibri" w:eastAsia="Times New Roman" w:hAnsi="Calibri" w:cs="Times New Roman"/>
      <w:sz w:val="20"/>
      <w:szCs w:val="20"/>
      <w:lang w:val="en-GB"/>
    </w:rPr>
  </w:style>
  <w:style w:type="table" w:customStyle="1" w:styleId="36">
    <w:name w:val="Сетка таблицы3"/>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 Знак Знак Знак Знак1"/>
    <w:basedOn w:val="a0"/>
    <w:qFormat/>
    <w:pPr>
      <w:spacing w:after="160" w:line="240" w:lineRule="exact"/>
      <w:ind w:firstLine="0"/>
      <w:jc w:val="left"/>
    </w:pPr>
    <w:rPr>
      <w:rFonts w:ascii="Verdana" w:eastAsia="Times New Roman" w:hAnsi="Verdana" w:cs="Verdana"/>
      <w:sz w:val="20"/>
      <w:szCs w:val="20"/>
      <w:lang w:val="en-US"/>
    </w:rPr>
  </w:style>
  <w:style w:type="table" w:customStyle="1" w:styleId="43">
    <w:name w:val="Сетка таблицы4"/>
    <w:qFormat/>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qFormat/>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4">
    <w:name w:val="Основной текст с отступом 3 Знак"/>
    <w:basedOn w:val="a1"/>
    <w:link w:val="33"/>
    <w:qFormat/>
    <w:rPr>
      <w:rFonts w:ascii="Calibri" w:eastAsia="Times New Roman" w:hAnsi="Calibri" w:cs="Times New Roman"/>
      <w:sz w:val="16"/>
      <w:szCs w:val="16"/>
      <w:lang w:val="zh-CN" w:eastAsia="zh-CN"/>
    </w:rPr>
  </w:style>
  <w:style w:type="table" w:customStyle="1" w:styleId="62">
    <w:name w:val="Сетка таблицы6"/>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qFormat/>
    <w:rPr>
      <w:rFonts w:ascii="Times New Roman" w:hAnsi="Times New Roman" w:cs="Times New Roman" w:hint="default"/>
      <w:sz w:val="24"/>
      <w:szCs w:val="24"/>
    </w:rPr>
  </w:style>
  <w:style w:type="table" w:customStyle="1" w:styleId="73">
    <w:name w:val="Сетка таблицы7"/>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NL">
    <w:name w:val="Tabl_N_L"/>
    <w:basedOn w:val="a0"/>
    <w:qFormat/>
    <w:pPr>
      <w:tabs>
        <w:tab w:val="left" w:pos="11907"/>
      </w:tabs>
      <w:spacing w:line="360" w:lineRule="auto"/>
      <w:ind w:firstLine="567"/>
    </w:pPr>
    <w:rPr>
      <w:rFonts w:ascii="NTTimes/Cyrillic" w:eastAsia="Times New Roman" w:hAnsi="NTTimes/Cyrillic" w:cs="Times New Roman"/>
      <w:szCs w:val="20"/>
      <w:lang w:eastAsia="ru-RU"/>
    </w:rPr>
  </w:style>
  <w:style w:type="paragraph" w:customStyle="1" w:styleId="214">
    <w:name w:val="Основной текст 21"/>
    <w:basedOn w:val="a0"/>
    <w:qFormat/>
    <w:pPr>
      <w:suppressAutoHyphens/>
      <w:spacing w:after="120" w:line="480" w:lineRule="auto"/>
    </w:pPr>
    <w:rPr>
      <w:rFonts w:eastAsia="Times New Roman" w:cs="Times New Roman"/>
      <w:sz w:val="16"/>
      <w:szCs w:val="16"/>
      <w:lang w:eastAsia="ar-SA"/>
    </w:rPr>
  </w:style>
  <w:style w:type="paragraph" w:customStyle="1" w:styleId="1f7">
    <w:name w:val="Стиль1"/>
    <w:basedOn w:val="a0"/>
    <w:qFormat/>
    <w:pPr>
      <w:spacing w:line="360" w:lineRule="auto"/>
    </w:pPr>
    <w:rPr>
      <w:rFonts w:eastAsia="Times New Roman" w:cs="Times New Roman"/>
      <w:szCs w:val="24"/>
      <w:lang w:eastAsia="ru-RU"/>
    </w:rPr>
  </w:style>
  <w:style w:type="paragraph" w:customStyle="1" w:styleId="1f8">
    <w:name w:val="Основной текст1"/>
    <w:link w:val="affffb"/>
    <w:qFormat/>
    <w:pPr>
      <w:spacing w:line="360" w:lineRule="auto"/>
      <w:ind w:firstLine="709"/>
      <w:jc w:val="both"/>
    </w:pPr>
    <w:rPr>
      <w:rFonts w:eastAsia="Times New Roman"/>
      <w:sz w:val="24"/>
    </w:rPr>
  </w:style>
  <w:style w:type="paragraph" w:customStyle="1" w:styleId="OTCHET00">
    <w:name w:val="OTCHET_00"/>
    <w:basedOn w:val="26"/>
    <w:qFormat/>
    <w:pPr>
      <w:tabs>
        <w:tab w:val="clear" w:pos="1215"/>
        <w:tab w:val="left" w:pos="709"/>
      </w:tabs>
      <w:ind w:left="0" w:firstLine="0"/>
    </w:pPr>
    <w:rPr>
      <w:szCs w:val="20"/>
    </w:rPr>
  </w:style>
  <w:style w:type="table" w:customStyle="1" w:styleId="87">
    <w:name w:val="Сетка таблицы8"/>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1"/>
    <w:qFormat/>
  </w:style>
  <w:style w:type="paragraph" w:customStyle="1" w:styleId="Spisokn">
    <w:name w:val="Spisok_n"/>
    <w:basedOn w:val="a0"/>
    <w:qFormat/>
    <w:pPr>
      <w:tabs>
        <w:tab w:val="left" w:pos="993"/>
      </w:tabs>
      <w:spacing w:line="360" w:lineRule="auto"/>
    </w:pPr>
    <w:rPr>
      <w:rFonts w:eastAsia="Times New Roman" w:cs="Times New Roman"/>
      <w:szCs w:val="20"/>
      <w:lang w:eastAsia="ru-RU"/>
    </w:rPr>
  </w:style>
  <w:style w:type="paragraph" w:customStyle="1" w:styleId="TablCenter">
    <w:name w:val="Tabl_Center"/>
    <w:basedOn w:val="a0"/>
    <w:qFormat/>
    <w:pPr>
      <w:keepLines/>
      <w:spacing w:before="20" w:after="20" w:line="216" w:lineRule="auto"/>
      <w:jc w:val="center"/>
    </w:pPr>
    <w:rPr>
      <w:rFonts w:eastAsia="Times New Roman" w:cs="Times New Roman"/>
      <w:sz w:val="22"/>
      <w:szCs w:val="20"/>
      <w:lang w:eastAsia="ru-RU"/>
    </w:rPr>
  </w:style>
  <w:style w:type="paragraph" w:customStyle="1" w:styleId="affffc">
    <w:name w:val="Рисунок"/>
    <w:basedOn w:val="a0"/>
    <w:qFormat/>
    <w:pPr>
      <w:spacing w:before="200" w:after="120" w:line="360" w:lineRule="auto"/>
      <w:jc w:val="center"/>
    </w:pPr>
    <w:rPr>
      <w:rFonts w:eastAsia="Times New Roman" w:cs="Times New Roman"/>
      <w:szCs w:val="20"/>
      <w:lang w:eastAsia="ru-RU"/>
    </w:rPr>
  </w:style>
  <w:style w:type="paragraph" w:customStyle="1" w:styleId="ConsNonformat">
    <w:name w:val="ConsNonformat"/>
    <w:qFormat/>
    <w:pPr>
      <w:widowControl w:val="0"/>
      <w:autoSpaceDE w:val="0"/>
      <w:autoSpaceDN w:val="0"/>
      <w:adjustRightInd w:val="0"/>
      <w:spacing w:line="360" w:lineRule="auto"/>
      <w:ind w:right="19772" w:firstLine="709"/>
      <w:jc w:val="both"/>
    </w:pPr>
    <w:rPr>
      <w:rFonts w:ascii="Courier New" w:eastAsia="Times New Roman" w:hAnsi="Courier New" w:cs="Courier New"/>
      <w:sz w:val="28"/>
      <w:szCs w:val="28"/>
    </w:rPr>
  </w:style>
  <w:style w:type="paragraph" w:customStyle="1" w:styleId="ConsPlusCell">
    <w:name w:val="ConsPlusCell"/>
    <w:qFormat/>
    <w:pPr>
      <w:widowControl w:val="0"/>
      <w:autoSpaceDE w:val="0"/>
      <w:autoSpaceDN w:val="0"/>
      <w:adjustRightInd w:val="0"/>
      <w:spacing w:line="360" w:lineRule="auto"/>
      <w:ind w:firstLine="709"/>
      <w:jc w:val="both"/>
    </w:pPr>
    <w:rPr>
      <w:rFonts w:ascii="Arial" w:eastAsia="Times New Roman" w:hAnsi="Arial" w:cs="Arial"/>
    </w:rPr>
  </w:style>
  <w:style w:type="paragraph" w:customStyle="1" w:styleId="ConsPlusDocList">
    <w:name w:val="ConsPlusDocList"/>
    <w:qFormat/>
    <w:pPr>
      <w:widowControl w:val="0"/>
      <w:autoSpaceDE w:val="0"/>
      <w:autoSpaceDN w:val="0"/>
      <w:adjustRightInd w:val="0"/>
      <w:spacing w:line="360" w:lineRule="auto"/>
      <w:ind w:firstLine="709"/>
      <w:jc w:val="both"/>
    </w:pPr>
    <w:rPr>
      <w:rFonts w:ascii="Courier New" w:eastAsia="Times New Roman" w:hAnsi="Courier New" w:cs="Courier New"/>
    </w:rPr>
  </w:style>
  <w:style w:type="paragraph" w:customStyle="1" w:styleId="caaieiaie4">
    <w:name w:val="caaieiaie 4"/>
    <w:basedOn w:val="a0"/>
    <w:next w:val="a0"/>
    <w:qFormat/>
    <w:pPr>
      <w:keepNext/>
      <w:widowControl w:val="0"/>
      <w:spacing w:line="360" w:lineRule="auto"/>
    </w:pPr>
    <w:rPr>
      <w:rFonts w:ascii="PetersburgC" w:eastAsia="Times New Roman" w:hAnsi="PetersburgC" w:cs="Times New Roman"/>
      <w:szCs w:val="20"/>
      <w:lang w:eastAsia="ru-RU"/>
    </w:rPr>
  </w:style>
  <w:style w:type="paragraph" w:customStyle="1" w:styleId="Iauiue">
    <w:name w:val="Iau?iue"/>
    <w:qFormat/>
    <w:pPr>
      <w:widowControl w:val="0"/>
      <w:spacing w:line="360" w:lineRule="auto"/>
      <w:ind w:firstLine="709"/>
      <w:jc w:val="both"/>
    </w:pPr>
    <w:rPr>
      <w:rFonts w:ascii="PetersburgC" w:eastAsia="Times New Roman" w:hAnsi="PetersburgC"/>
    </w:rPr>
  </w:style>
  <w:style w:type="character" w:customStyle="1" w:styleId="noprintplainlinksneverexpand">
    <w:name w:val="noprint plainlinksneverexpand"/>
    <w:basedOn w:val="a1"/>
    <w:qFormat/>
  </w:style>
  <w:style w:type="paragraph" w:customStyle="1" w:styleId="2d">
    <w:name w:val="Стиль2"/>
    <w:basedOn w:val="a0"/>
    <w:next w:val="20"/>
    <w:pPr>
      <w:spacing w:line="360" w:lineRule="auto"/>
      <w:ind w:firstLine="708"/>
    </w:pPr>
    <w:rPr>
      <w:rFonts w:eastAsia="Times New Roman" w:cs="Times New Roman"/>
      <w:b/>
      <w:bCs/>
      <w:smallCaps/>
      <w:szCs w:val="24"/>
      <w:lang w:eastAsia="ru-RU"/>
    </w:rPr>
  </w:style>
  <w:style w:type="paragraph" w:customStyle="1" w:styleId="220">
    <w:name w:val="Основной текст 22"/>
    <w:basedOn w:val="a0"/>
    <w:pPr>
      <w:spacing w:line="360" w:lineRule="auto"/>
      <w:ind w:left="-567" w:firstLine="425"/>
    </w:pPr>
    <w:rPr>
      <w:rFonts w:eastAsia="Times New Roman" w:cs="Times New Roman"/>
      <w:sz w:val="22"/>
      <w:szCs w:val="24"/>
      <w:lang w:eastAsia="ru-RU"/>
    </w:rPr>
  </w:style>
  <w:style w:type="character" w:customStyle="1" w:styleId="BodyText2">
    <w:name w:val="Body Text 2 Знак"/>
    <w:qFormat/>
    <w:rPr>
      <w:sz w:val="22"/>
      <w:szCs w:val="24"/>
      <w:lang w:val="ru-RU" w:eastAsia="ru-RU" w:bidi="ar-SA"/>
    </w:rPr>
  </w:style>
  <w:style w:type="paragraph" w:customStyle="1" w:styleId="Zagolovoktabl">
    <w:name w:val="Zagolovok tabl"/>
    <w:basedOn w:val="a0"/>
    <w:pPr>
      <w:keepNext/>
      <w:spacing w:before="60" w:after="120" w:line="360" w:lineRule="auto"/>
      <w:jc w:val="center"/>
    </w:pPr>
    <w:rPr>
      <w:rFonts w:eastAsia="Times New Roman" w:cs="Times New Roman"/>
      <w:b/>
      <w:sz w:val="22"/>
      <w:szCs w:val="20"/>
      <w:lang w:eastAsia="ru-RU"/>
    </w:rPr>
  </w:style>
  <w:style w:type="paragraph" w:customStyle="1" w:styleId="WR">
    <w:name w:val="СтильWR"/>
    <w:basedOn w:val="a0"/>
    <w:pPr>
      <w:spacing w:line="360" w:lineRule="auto"/>
    </w:pPr>
    <w:rPr>
      <w:rFonts w:eastAsia="Times New Roman" w:cs="Times New Roman"/>
      <w:snapToGrid w:val="0"/>
      <w:szCs w:val="20"/>
      <w:lang w:eastAsia="ru-RU"/>
    </w:rPr>
  </w:style>
  <w:style w:type="character" w:customStyle="1" w:styleId="HTML0">
    <w:name w:val="Стандартный HTML Знак"/>
    <w:basedOn w:val="a1"/>
    <w:link w:val="HTML"/>
    <w:qFormat/>
    <w:rPr>
      <w:rFonts w:ascii="Courier New" w:eastAsia="Times New Roman" w:hAnsi="Courier New" w:cs="Times New Roman"/>
      <w:sz w:val="20"/>
      <w:szCs w:val="20"/>
      <w:lang w:val="zh-CN" w:eastAsia="zh-CN"/>
    </w:rPr>
  </w:style>
  <w:style w:type="paragraph" w:customStyle="1" w:styleId="1f9">
    <w:name w:val="Ирина1"/>
    <w:basedOn w:val="1"/>
    <w:next w:val="1"/>
    <w:link w:val="1fa"/>
    <w:qFormat/>
    <w:pPr>
      <w:keepLines w:val="0"/>
      <w:pageBreakBefore w:val="0"/>
      <w:suppressAutoHyphens/>
      <w:spacing w:before="240" w:after="200" w:line="360" w:lineRule="auto"/>
      <w:ind w:left="720" w:firstLine="567"/>
      <w:jc w:val="center"/>
    </w:pPr>
    <w:rPr>
      <w:rFonts w:ascii="Calibri" w:eastAsia="Times New Roman" w:hAnsi="Calibri" w:cs="Times New Roman"/>
      <w:kern w:val="28"/>
      <w:sz w:val="28"/>
      <w:szCs w:val="22"/>
      <w:lang w:val="zh-CN" w:eastAsia="ar-SA"/>
    </w:rPr>
  </w:style>
  <w:style w:type="paragraph" w:customStyle="1" w:styleId="1fb">
    <w:name w:val="Продолжение списка1"/>
    <w:basedOn w:val="a0"/>
    <w:pPr>
      <w:suppressAutoHyphens/>
      <w:spacing w:after="120" w:line="360" w:lineRule="auto"/>
      <w:ind w:left="283"/>
    </w:pPr>
    <w:rPr>
      <w:rFonts w:eastAsia="Times New Roman" w:cs="Times New Roman"/>
      <w:szCs w:val="24"/>
      <w:lang w:eastAsia="ar-SA"/>
    </w:rPr>
  </w:style>
  <w:style w:type="paragraph" w:customStyle="1" w:styleId="37">
    <w:name w:val="Знак3 Знак Знак Знак"/>
    <w:basedOn w:val="a0"/>
    <w:pPr>
      <w:spacing w:after="160" w:line="240" w:lineRule="exact"/>
    </w:pPr>
    <w:rPr>
      <w:rFonts w:ascii="Verdana" w:eastAsia="Times New Roman" w:hAnsi="Verdana" w:cs="Times New Roman"/>
      <w:sz w:val="20"/>
      <w:szCs w:val="20"/>
      <w:lang w:val="en-US"/>
    </w:rPr>
  </w:style>
  <w:style w:type="paragraph" w:customStyle="1" w:styleId="221">
    <w:name w:val="Основной текст с отступом 22"/>
    <w:basedOn w:val="a0"/>
    <w:pPr>
      <w:spacing w:line="360" w:lineRule="auto"/>
    </w:pPr>
    <w:rPr>
      <w:rFonts w:eastAsia="Times New Roman" w:cs="Times New Roman"/>
      <w:sz w:val="26"/>
      <w:szCs w:val="20"/>
      <w:lang w:eastAsia="ru-RU"/>
    </w:rPr>
  </w:style>
  <w:style w:type="paragraph" w:customStyle="1" w:styleId="FR1">
    <w:name w:val="FR1"/>
    <w:pPr>
      <w:widowControl w:val="0"/>
      <w:spacing w:line="360" w:lineRule="auto"/>
      <w:ind w:left="7240" w:firstLine="709"/>
      <w:jc w:val="both"/>
    </w:pPr>
    <w:rPr>
      <w:rFonts w:ascii="Arial" w:eastAsia="Times New Roman" w:hAnsi="Arial"/>
      <w:sz w:val="22"/>
    </w:rPr>
  </w:style>
  <w:style w:type="paragraph" w:customStyle="1" w:styleId="infotext">
    <w:name w:val="infotext"/>
    <w:basedOn w:val="a0"/>
    <w:pPr>
      <w:spacing w:before="90" w:after="90" w:line="360" w:lineRule="auto"/>
      <w:ind w:left="90" w:right="90" w:firstLine="400"/>
    </w:pPr>
    <w:rPr>
      <w:rFonts w:ascii="Verdana" w:eastAsia="Times New Roman" w:hAnsi="Verdana" w:cs="Times New Roman"/>
      <w:color w:val="CCFFFF"/>
      <w:sz w:val="18"/>
      <w:szCs w:val="18"/>
      <w:lang w:eastAsia="ru-RU"/>
    </w:rPr>
  </w:style>
  <w:style w:type="character" w:customStyle="1" w:styleId="311">
    <w:name w:val="Знак3 Знак1"/>
    <w:rPr>
      <w:rFonts w:cs="Arial"/>
      <w:b/>
      <w:bCs/>
      <w:sz w:val="24"/>
      <w:szCs w:val="26"/>
      <w:lang w:val="ru-RU" w:eastAsia="ru-RU" w:bidi="ar-SA"/>
    </w:rPr>
  </w:style>
  <w:style w:type="character" w:customStyle="1" w:styleId="1fc">
    <w:name w:val="Дата1"/>
    <w:basedOn w:val="a1"/>
  </w:style>
  <w:style w:type="character" w:customStyle="1" w:styleId="plainlinksneverexpand">
    <w:name w:val="plainlinksneverexpand"/>
    <w:basedOn w:val="a1"/>
  </w:style>
  <w:style w:type="character" w:customStyle="1" w:styleId="geo-dms">
    <w:name w:val="geo-dms"/>
    <w:basedOn w:val="a1"/>
  </w:style>
  <w:style w:type="character" w:customStyle="1" w:styleId="geo-lat">
    <w:name w:val="geo-lat"/>
    <w:basedOn w:val="a1"/>
  </w:style>
  <w:style w:type="character" w:customStyle="1" w:styleId="geo-lon">
    <w:name w:val="geo-lon"/>
    <w:basedOn w:val="a1"/>
  </w:style>
  <w:style w:type="character" w:customStyle="1" w:styleId="geo-multi-punct">
    <w:name w:val="geo-multi-punct"/>
    <w:basedOn w:val="a1"/>
  </w:style>
  <w:style w:type="character" w:customStyle="1" w:styleId="geo-dec">
    <w:name w:val="geo-dec"/>
    <w:basedOn w:val="a1"/>
  </w:style>
  <w:style w:type="character" w:customStyle="1" w:styleId="geo">
    <w:name w:val="geo"/>
    <w:basedOn w:val="a1"/>
    <w:qFormat/>
  </w:style>
  <w:style w:type="character" w:customStyle="1" w:styleId="latitude">
    <w:name w:val="latitude"/>
    <w:basedOn w:val="a1"/>
  </w:style>
  <w:style w:type="character" w:customStyle="1" w:styleId="longitude">
    <w:name w:val="longitude"/>
    <w:basedOn w:val="a1"/>
  </w:style>
  <w:style w:type="character" w:customStyle="1" w:styleId="toctoggle">
    <w:name w:val="toctoggle"/>
    <w:basedOn w:val="a1"/>
    <w:qFormat/>
  </w:style>
  <w:style w:type="character" w:customStyle="1" w:styleId="tocnumber">
    <w:name w:val="tocnumber"/>
    <w:basedOn w:val="a1"/>
  </w:style>
  <w:style w:type="character" w:customStyle="1" w:styleId="toctext">
    <w:name w:val="toctext"/>
    <w:basedOn w:val="a1"/>
  </w:style>
  <w:style w:type="character" w:customStyle="1" w:styleId="wikicommons-ref">
    <w:name w:val="wikicommons-ref"/>
    <w:basedOn w:val="a1"/>
  </w:style>
  <w:style w:type="character" w:customStyle="1" w:styleId="pagefont">
    <w:name w:val="pagefont"/>
    <w:basedOn w:val="a1"/>
  </w:style>
  <w:style w:type="character" w:customStyle="1" w:styleId="affffd">
    <w:name w:val="Основной для текста Знак"/>
    <w:rPr>
      <w:sz w:val="24"/>
      <w:szCs w:val="24"/>
      <w:lang w:val="ru-RU" w:eastAsia="ru-RU" w:bidi="ar-SA"/>
    </w:rPr>
  </w:style>
  <w:style w:type="character" w:customStyle="1" w:styleId="114">
    <w:name w:val="Заголовок 1 Знак Знак Знак1"/>
    <w:rPr>
      <w:caps/>
      <w:kern w:val="28"/>
      <w:sz w:val="28"/>
      <w:lang w:val="ru-RU" w:eastAsia="ru-RU" w:bidi="ar-SA"/>
    </w:rPr>
  </w:style>
  <w:style w:type="character" w:customStyle="1" w:styleId="63">
    <w:name w:val="Знак Знак6"/>
    <w:rPr>
      <w:sz w:val="24"/>
      <w:szCs w:val="24"/>
      <w:lang w:val="ru-RU" w:eastAsia="ru-RU" w:bidi="ar-SA"/>
    </w:rPr>
  </w:style>
  <w:style w:type="paragraph" w:customStyle="1" w:styleId="FR2">
    <w:name w:val="FR2"/>
    <w:pPr>
      <w:widowControl w:val="0"/>
      <w:autoSpaceDE w:val="0"/>
      <w:autoSpaceDN w:val="0"/>
      <w:adjustRightInd w:val="0"/>
      <w:spacing w:line="360" w:lineRule="auto"/>
      <w:ind w:firstLine="709"/>
      <w:jc w:val="both"/>
    </w:pPr>
    <w:rPr>
      <w:rFonts w:ascii="Arial" w:eastAsia="Times New Roman" w:hAnsi="Arial" w:cs="Arial"/>
    </w:rPr>
  </w:style>
  <w:style w:type="character" w:customStyle="1" w:styleId="74">
    <w:name w:val="Знак Знак7"/>
    <w:rPr>
      <w:sz w:val="16"/>
      <w:szCs w:val="16"/>
      <w:lang w:val="ru-RU" w:eastAsia="ru-RU" w:bidi="ar-SA"/>
    </w:rPr>
  </w:style>
  <w:style w:type="paragraph" w:customStyle="1" w:styleId="Normal1">
    <w:name w:val="Normal1"/>
    <w:pPr>
      <w:widowControl w:val="0"/>
      <w:snapToGrid w:val="0"/>
      <w:spacing w:line="300" w:lineRule="auto"/>
      <w:ind w:firstLine="720"/>
      <w:jc w:val="both"/>
    </w:pPr>
    <w:rPr>
      <w:rFonts w:ascii="Arial" w:eastAsia="Times New Roman" w:hAnsi="Arial"/>
      <w:sz w:val="28"/>
    </w:rPr>
  </w:style>
  <w:style w:type="character" w:customStyle="1" w:styleId="140">
    <w:name w:val="Знак Знак14"/>
    <w:rPr>
      <w:sz w:val="24"/>
      <w:szCs w:val="24"/>
      <w:lang w:val="ru-RU" w:eastAsia="ru-RU" w:bidi="ar-SA"/>
    </w:rPr>
  </w:style>
  <w:style w:type="character" w:customStyle="1" w:styleId="1fd">
    <w:name w:val="Знак1 Знак Знак"/>
    <w:rPr>
      <w:sz w:val="24"/>
      <w:szCs w:val="24"/>
      <w:lang w:val="ru-RU" w:eastAsia="ru-RU" w:bidi="ar-SA"/>
    </w:rPr>
  </w:style>
  <w:style w:type="character" w:customStyle="1" w:styleId="54">
    <w:name w:val="Знак Знак5"/>
    <w:rPr>
      <w:sz w:val="24"/>
      <w:szCs w:val="24"/>
      <w:lang w:val="ru-RU" w:eastAsia="ru-RU" w:bidi="ar-SA"/>
    </w:rPr>
  </w:style>
  <w:style w:type="character" w:customStyle="1" w:styleId="44">
    <w:name w:val="Знак Знак4"/>
    <w:rPr>
      <w:sz w:val="24"/>
      <w:szCs w:val="24"/>
      <w:lang w:val="ru-RU" w:eastAsia="ru-RU" w:bidi="ar-SA"/>
    </w:rPr>
  </w:style>
  <w:style w:type="character" w:customStyle="1" w:styleId="FontStyle229">
    <w:name w:val="Font Style229"/>
    <w:rPr>
      <w:rFonts w:ascii="Times New Roman" w:hAnsi="Times New Roman" w:cs="Times New Roman"/>
      <w:b/>
      <w:bCs/>
      <w:sz w:val="22"/>
      <w:szCs w:val="22"/>
    </w:rPr>
  </w:style>
  <w:style w:type="paragraph" w:customStyle="1" w:styleId="text2">
    <w:name w:val="text"/>
    <w:basedOn w:val="a0"/>
    <w:pPr>
      <w:spacing w:before="100" w:beforeAutospacing="1" w:after="100" w:afterAutospacing="1" w:line="360" w:lineRule="auto"/>
    </w:pPr>
    <w:rPr>
      <w:rFonts w:eastAsia="Times New Roman" w:cs="Times New Roman"/>
      <w:szCs w:val="24"/>
      <w:lang w:eastAsia="ru-RU"/>
    </w:rPr>
  </w:style>
  <w:style w:type="paragraph" w:customStyle="1" w:styleId="tablename">
    <w:name w:val="tablename"/>
    <w:basedOn w:val="a0"/>
    <w:pPr>
      <w:spacing w:before="100" w:beforeAutospacing="1" w:after="100" w:afterAutospacing="1" w:line="360" w:lineRule="auto"/>
    </w:pPr>
    <w:rPr>
      <w:rFonts w:eastAsia="Times New Roman" w:cs="Times New Roman"/>
      <w:szCs w:val="24"/>
      <w:lang w:eastAsia="ru-RU"/>
    </w:rPr>
  </w:style>
  <w:style w:type="paragraph" w:customStyle="1" w:styleId="ConsCell">
    <w:name w:val="ConsCell"/>
    <w:semiHidden/>
    <w:pPr>
      <w:widowControl w:val="0"/>
      <w:autoSpaceDE w:val="0"/>
      <w:autoSpaceDN w:val="0"/>
      <w:adjustRightInd w:val="0"/>
      <w:spacing w:line="360" w:lineRule="auto"/>
      <w:ind w:right="19772" w:firstLine="709"/>
      <w:jc w:val="both"/>
    </w:pPr>
    <w:rPr>
      <w:rFonts w:ascii="Arial" w:eastAsia="Times New Roman" w:hAnsi="Arial" w:cs="Arial"/>
    </w:rPr>
  </w:style>
  <w:style w:type="paragraph" w:customStyle="1" w:styleId="S0">
    <w:name w:val="S_Обычный в таблице"/>
    <w:basedOn w:val="a0"/>
    <w:link w:val="S1"/>
    <w:pPr>
      <w:spacing w:line="360" w:lineRule="auto"/>
      <w:jc w:val="center"/>
    </w:pPr>
    <w:rPr>
      <w:rFonts w:ascii="Calibri" w:eastAsia="Times New Roman" w:hAnsi="Calibri" w:cs="Times New Roman"/>
      <w:szCs w:val="24"/>
      <w:lang w:eastAsia="ru-RU"/>
    </w:rPr>
  </w:style>
  <w:style w:type="character" w:customStyle="1" w:styleId="S1">
    <w:name w:val="S_Обычный в таблице Знак"/>
    <w:link w:val="S0"/>
    <w:rPr>
      <w:rFonts w:ascii="Calibri" w:eastAsia="Times New Roman" w:hAnsi="Calibri" w:cs="Times New Roman"/>
      <w:sz w:val="24"/>
      <w:szCs w:val="24"/>
      <w:lang w:eastAsia="ru-RU"/>
    </w:rPr>
  </w:style>
  <w:style w:type="character" w:customStyle="1" w:styleId="ConsNormal0">
    <w:name w:val="ConsNormal Знак"/>
    <w:link w:val="ConsNormal"/>
    <w:rPr>
      <w:rFonts w:ascii="Arial" w:eastAsia="Times New Roman" w:hAnsi="Arial" w:cs="Arial"/>
      <w:sz w:val="20"/>
      <w:szCs w:val="20"/>
      <w:lang w:eastAsia="ru-RU"/>
    </w:rPr>
  </w:style>
  <w:style w:type="character" w:customStyle="1" w:styleId="accented">
    <w:name w:val="accented"/>
    <w:basedOn w:val="a1"/>
  </w:style>
  <w:style w:type="character" w:customStyle="1" w:styleId="1fe">
    <w:name w:val="Знак1 Знак Знак Знак"/>
    <w:rPr>
      <w:rFonts w:ascii="Times New Roman" w:eastAsia="Times New Roman" w:hAnsi="Times New Roman"/>
      <w:sz w:val="24"/>
      <w:szCs w:val="24"/>
    </w:rPr>
  </w:style>
  <w:style w:type="character" w:customStyle="1" w:styleId="1ff">
    <w:name w:val="Знак Знак1"/>
    <w:rPr>
      <w:rFonts w:ascii="Tahoma" w:hAnsi="Tahoma" w:cs="Tahoma"/>
      <w:sz w:val="16"/>
      <w:szCs w:val="16"/>
    </w:rPr>
  </w:style>
  <w:style w:type="paragraph" w:customStyle="1" w:styleId="1ff0">
    <w:name w:val="Рецензия1"/>
    <w:hidden/>
    <w:uiPriority w:val="99"/>
    <w:semiHidden/>
    <w:pPr>
      <w:spacing w:line="360" w:lineRule="auto"/>
      <w:ind w:firstLine="709"/>
      <w:jc w:val="both"/>
    </w:pPr>
    <w:rPr>
      <w:rFonts w:eastAsia="Times New Roman"/>
      <w:sz w:val="24"/>
      <w:szCs w:val="24"/>
    </w:rPr>
  </w:style>
  <w:style w:type="character" w:customStyle="1" w:styleId="1fa">
    <w:name w:val="Ирина1 Знак"/>
    <w:link w:val="1f9"/>
    <w:rPr>
      <w:rFonts w:ascii="Calibri" w:eastAsia="Times New Roman" w:hAnsi="Calibri" w:cs="Times New Roman"/>
      <w:b/>
      <w:kern w:val="28"/>
      <w:sz w:val="28"/>
      <w:lang w:val="zh-CN" w:eastAsia="ar-SA"/>
    </w:rPr>
  </w:style>
  <w:style w:type="character" w:customStyle="1" w:styleId="121">
    <w:name w:val="Знак1 Знак Знак Знак2"/>
    <w:semiHidden/>
    <w:rPr>
      <w:sz w:val="24"/>
      <w:szCs w:val="24"/>
      <w:lang w:val="ru-RU" w:eastAsia="ru-RU" w:bidi="ar-SA"/>
    </w:rPr>
  </w:style>
  <w:style w:type="paragraph" w:customStyle="1" w:styleId="affffe">
    <w:name w:val="ЯЯЯ"/>
    <w:basedOn w:val="1f9"/>
    <w:link w:val="afffff"/>
    <w:qFormat/>
    <w:rPr>
      <w:b w:val="0"/>
    </w:rPr>
  </w:style>
  <w:style w:type="character" w:customStyle="1" w:styleId="2e">
    <w:name w:val="Слабое выделение2"/>
    <w:uiPriority w:val="19"/>
    <w:qFormat/>
    <w:rPr>
      <w:i/>
      <w:iCs/>
      <w:color w:val="808080"/>
    </w:rPr>
  </w:style>
  <w:style w:type="character" w:customStyle="1" w:styleId="afffff">
    <w:name w:val="ЯЯЯ Знак"/>
    <w:link w:val="affffe"/>
    <w:rPr>
      <w:rFonts w:ascii="Calibri" w:eastAsia="Times New Roman" w:hAnsi="Calibri" w:cs="Times New Roman"/>
      <w:kern w:val="28"/>
      <w:sz w:val="28"/>
      <w:lang w:val="zh-CN" w:eastAsia="ar-SA"/>
    </w:rPr>
  </w:style>
  <w:style w:type="paragraph" w:customStyle="1" w:styleId="1ff1">
    <w:name w:val="Подзаголовок 1"/>
    <w:basedOn w:val="a0"/>
    <w:pPr>
      <w:keepNext/>
      <w:keepLines/>
      <w:suppressAutoHyphens/>
      <w:spacing w:before="240" w:after="120" w:line="360" w:lineRule="auto"/>
      <w:ind w:firstLine="567"/>
    </w:pPr>
    <w:rPr>
      <w:rFonts w:eastAsia="Times New Roman" w:cs="Times New Roman"/>
      <w:b/>
      <w:szCs w:val="24"/>
      <w:lang w:eastAsia="ru-RU"/>
    </w:rPr>
  </w:style>
  <w:style w:type="paragraph" w:customStyle="1" w:styleId="afffff0">
    <w:name w:val="таблица"/>
    <w:basedOn w:val="a0"/>
    <w:semiHidden/>
    <w:pPr>
      <w:spacing w:line="360" w:lineRule="auto"/>
      <w:jc w:val="center"/>
    </w:pPr>
    <w:rPr>
      <w:rFonts w:eastAsia="Times New Roman" w:cs="Times New Roman"/>
      <w:szCs w:val="24"/>
      <w:lang w:eastAsia="ru-RU"/>
    </w:rPr>
  </w:style>
  <w:style w:type="paragraph" w:customStyle="1" w:styleId="38">
    <w:name w:val="Стиль3"/>
    <w:basedOn w:val="1f9"/>
    <w:next w:val="1"/>
    <w:link w:val="39"/>
    <w:qFormat/>
  </w:style>
  <w:style w:type="paragraph" w:customStyle="1" w:styleId="2f">
    <w:name w:val="Ирина2"/>
    <w:basedOn w:val="a0"/>
    <w:pPr>
      <w:spacing w:line="360" w:lineRule="auto"/>
      <w:ind w:firstLine="851"/>
    </w:pPr>
    <w:rPr>
      <w:rFonts w:eastAsia="Times New Roman" w:cs="Times New Roman"/>
      <w:sz w:val="28"/>
      <w:szCs w:val="28"/>
      <w:lang w:eastAsia="ru-RU"/>
    </w:rPr>
  </w:style>
  <w:style w:type="character" w:customStyle="1" w:styleId="39">
    <w:name w:val="Стиль3 Знак"/>
    <w:basedOn w:val="1fa"/>
    <w:link w:val="38"/>
    <w:rPr>
      <w:rFonts w:ascii="Calibri" w:eastAsia="Times New Roman" w:hAnsi="Calibri" w:cs="Times New Roman"/>
      <w:b/>
      <w:kern w:val="28"/>
      <w:sz w:val="28"/>
      <w:lang w:val="zh-CN" w:eastAsia="ar-SA"/>
    </w:rPr>
  </w:style>
  <w:style w:type="character" w:customStyle="1" w:styleId="45">
    <w:name w:val="Ирина 4 Знак Знак"/>
    <w:rPr>
      <w:b/>
      <w:bCs/>
      <w:sz w:val="28"/>
      <w:szCs w:val="28"/>
    </w:rPr>
  </w:style>
  <w:style w:type="paragraph" w:customStyle="1" w:styleId="afffff1">
    <w:name w:val="Чертежный"/>
    <w:pPr>
      <w:spacing w:line="360" w:lineRule="auto"/>
      <w:ind w:firstLine="709"/>
      <w:jc w:val="both"/>
    </w:pPr>
    <w:rPr>
      <w:rFonts w:ascii="ISOCPEUR" w:eastAsia="Times New Roman" w:hAnsi="ISOCPEUR"/>
      <w:i/>
      <w:sz w:val="28"/>
      <w:lang w:val="uk-UA"/>
    </w:rPr>
  </w:style>
  <w:style w:type="paragraph" w:customStyle="1" w:styleId="afffff2">
    <w:name w:val="Знак Знак Знак Знак Знак Знак Знак Знак Знак Знак"/>
    <w:basedOn w:val="a0"/>
    <w:pPr>
      <w:spacing w:line="360" w:lineRule="auto"/>
    </w:pPr>
    <w:rPr>
      <w:rFonts w:ascii="Verdana" w:eastAsia="Times New Roman" w:hAnsi="Verdana" w:cs="Verdana"/>
      <w:sz w:val="20"/>
      <w:szCs w:val="20"/>
      <w:lang w:val="en-US"/>
    </w:rPr>
  </w:style>
  <w:style w:type="paragraph" w:customStyle="1" w:styleId="2">
    <w:name w:val="Подзаголовок 2"/>
    <w:basedOn w:val="a0"/>
    <w:semiHidden/>
    <w:pPr>
      <w:numPr>
        <w:numId w:val="2"/>
      </w:numPr>
      <w:spacing w:before="120" w:line="360" w:lineRule="auto"/>
    </w:pPr>
    <w:rPr>
      <w:rFonts w:eastAsia="Times New Roman" w:cs="Times New Roman"/>
      <w:b/>
      <w:i/>
      <w:iCs/>
      <w:szCs w:val="24"/>
      <w:lang w:eastAsia="ru-RU"/>
    </w:rPr>
  </w:style>
  <w:style w:type="paragraph" w:customStyle="1" w:styleId="afffff3">
    <w:name w:val="заголовок таблицы"/>
    <w:basedOn w:val="a0"/>
    <w:link w:val="afffff4"/>
    <w:pPr>
      <w:keepNext/>
      <w:keepLines/>
      <w:tabs>
        <w:tab w:val="left" w:pos="1588"/>
      </w:tabs>
      <w:spacing w:before="240" w:line="360" w:lineRule="auto"/>
      <w:ind w:left="1588" w:hanging="1588"/>
      <w:jc w:val="right"/>
    </w:pPr>
    <w:rPr>
      <w:rFonts w:ascii="Calibri" w:eastAsia="Times New Roman" w:hAnsi="Calibri" w:cs="Times New Roman"/>
      <w:i/>
      <w:szCs w:val="24"/>
      <w:lang w:val="zh-CN" w:eastAsia="zh-CN"/>
    </w:rPr>
  </w:style>
  <w:style w:type="character" w:customStyle="1" w:styleId="afffff4">
    <w:name w:val="заголовок таблицы Знак"/>
    <w:link w:val="afffff3"/>
    <w:rPr>
      <w:rFonts w:ascii="Calibri" w:eastAsia="Times New Roman" w:hAnsi="Calibri" w:cs="Times New Roman"/>
      <w:i/>
      <w:sz w:val="24"/>
      <w:szCs w:val="24"/>
      <w:lang w:val="zh-CN" w:eastAsia="zh-CN"/>
    </w:rPr>
  </w:style>
  <w:style w:type="paragraph" w:customStyle="1" w:styleId="101">
    <w:name w:val="Стиль Слева:  1 см Первая строка:  0 см1"/>
    <w:basedOn w:val="a0"/>
    <w:pPr>
      <w:spacing w:line="360" w:lineRule="auto"/>
    </w:pPr>
    <w:rPr>
      <w:rFonts w:eastAsia="Times New Roman" w:cs="Times New Roman"/>
      <w:szCs w:val="20"/>
      <w:lang w:eastAsia="ru-RU"/>
    </w:rPr>
  </w:style>
  <w:style w:type="paragraph" w:customStyle="1" w:styleId="0202">
    <w:name w:val="Стиль по центру Слева:  02 см Справа:  02 см Междустр.интервал..."/>
    <w:basedOn w:val="a0"/>
    <w:pPr>
      <w:spacing w:line="360" w:lineRule="auto"/>
      <w:jc w:val="center"/>
    </w:pPr>
    <w:rPr>
      <w:rFonts w:eastAsia="Times New Roman" w:cs="Times New Roman"/>
      <w:szCs w:val="20"/>
      <w:lang w:eastAsia="ru-RU"/>
    </w:rPr>
  </w:style>
  <w:style w:type="paragraph" w:customStyle="1" w:styleId="02020">
    <w:name w:val="Стиль по центру Слева:  02 см Справа:  02 см"/>
    <w:basedOn w:val="a0"/>
    <w:pPr>
      <w:spacing w:line="360" w:lineRule="auto"/>
      <w:jc w:val="center"/>
    </w:pPr>
    <w:rPr>
      <w:rFonts w:eastAsia="Times New Roman" w:cs="Times New Roman"/>
      <w:szCs w:val="20"/>
      <w:lang w:eastAsia="ru-RU"/>
    </w:rPr>
  </w:style>
  <w:style w:type="paragraph" w:customStyle="1" w:styleId="afffff5">
    <w:name w:val="Стиль по центру"/>
    <w:basedOn w:val="a0"/>
    <w:pPr>
      <w:spacing w:line="360" w:lineRule="auto"/>
      <w:jc w:val="center"/>
    </w:pPr>
    <w:rPr>
      <w:rFonts w:eastAsia="Times New Roman" w:cs="Times New Roman"/>
      <w:szCs w:val="20"/>
      <w:lang w:eastAsia="ru-RU"/>
    </w:rPr>
  </w:style>
  <w:style w:type="paragraph" w:customStyle="1" w:styleId="afffff6">
    <w:name w:val="МОЕ"/>
    <w:basedOn w:val="a0"/>
    <w:pPr>
      <w:spacing w:line="360" w:lineRule="auto"/>
    </w:pPr>
    <w:rPr>
      <w:rFonts w:eastAsia="Times New Roman" w:cs="Times New Roman"/>
      <w:spacing w:val="10"/>
      <w:sz w:val="28"/>
      <w:szCs w:val="28"/>
      <w:lang w:eastAsia="ru-RU"/>
    </w:rPr>
  </w:style>
  <w:style w:type="character" w:customStyle="1" w:styleId="2f0">
    <w:name w:val="Сильное выделение2"/>
    <w:uiPriority w:val="21"/>
    <w:qFormat/>
    <w:rPr>
      <w:b/>
      <w:bCs/>
      <w:i/>
      <w:iCs/>
      <w:color w:val="4F81BD"/>
      <w:sz w:val="28"/>
    </w:rPr>
  </w:style>
  <w:style w:type="paragraph" w:styleId="2f1">
    <w:name w:val="Quote"/>
    <w:basedOn w:val="a0"/>
    <w:next w:val="a0"/>
    <w:link w:val="2f2"/>
    <w:uiPriority w:val="29"/>
    <w:qFormat/>
    <w:pPr>
      <w:spacing w:line="360" w:lineRule="auto"/>
    </w:pPr>
    <w:rPr>
      <w:rFonts w:ascii="Calibri" w:eastAsia="Times New Roman" w:hAnsi="Calibri" w:cs="Times New Roman"/>
      <w:i/>
      <w:iCs/>
      <w:color w:val="000000"/>
      <w:szCs w:val="24"/>
      <w:lang w:val="zh-CN" w:eastAsia="zh-CN"/>
    </w:rPr>
  </w:style>
  <w:style w:type="character" w:customStyle="1" w:styleId="2f2">
    <w:name w:val="Цитата 2 Знак"/>
    <w:basedOn w:val="a1"/>
    <w:link w:val="2f1"/>
    <w:uiPriority w:val="29"/>
    <w:rPr>
      <w:rFonts w:ascii="Calibri" w:eastAsia="Times New Roman" w:hAnsi="Calibri" w:cs="Times New Roman"/>
      <w:i/>
      <w:iCs/>
      <w:color w:val="000000"/>
      <w:sz w:val="24"/>
      <w:szCs w:val="24"/>
      <w:lang w:val="zh-CN" w:eastAsia="zh-CN"/>
    </w:rPr>
  </w:style>
  <w:style w:type="character" w:customStyle="1" w:styleId="2f3">
    <w:name w:val="Сильная ссылка2"/>
    <w:uiPriority w:val="32"/>
    <w:qFormat/>
    <w:rPr>
      <w:bCs/>
      <w:smallCaps/>
      <w:spacing w:val="5"/>
    </w:rPr>
  </w:style>
  <w:style w:type="paragraph" w:styleId="afffff7">
    <w:name w:val="Intense Quote"/>
    <w:basedOn w:val="a0"/>
    <w:next w:val="a0"/>
    <w:link w:val="afffff8"/>
    <w:uiPriority w:val="30"/>
    <w:qFormat/>
    <w:pPr>
      <w:pBdr>
        <w:bottom w:val="single" w:sz="4" w:space="4" w:color="4F81BD"/>
      </w:pBdr>
      <w:spacing w:before="200" w:after="280" w:line="360" w:lineRule="auto"/>
      <w:ind w:left="936" w:right="936"/>
    </w:pPr>
    <w:rPr>
      <w:rFonts w:ascii="Calibri" w:eastAsia="Times New Roman" w:hAnsi="Calibri" w:cs="Times New Roman"/>
      <w:b/>
      <w:bCs/>
      <w:i/>
      <w:iCs/>
      <w:color w:val="4F81BD"/>
      <w:szCs w:val="24"/>
      <w:lang w:val="zh-CN" w:eastAsia="zh-CN"/>
    </w:rPr>
  </w:style>
  <w:style w:type="character" w:customStyle="1" w:styleId="afffff8">
    <w:name w:val="Выделенная цитата Знак"/>
    <w:basedOn w:val="a1"/>
    <w:link w:val="afffff7"/>
    <w:uiPriority w:val="30"/>
    <w:rPr>
      <w:rFonts w:ascii="Calibri" w:eastAsia="Times New Roman" w:hAnsi="Calibri" w:cs="Times New Roman"/>
      <w:b/>
      <w:bCs/>
      <w:i/>
      <w:iCs/>
      <w:color w:val="4F81BD"/>
      <w:sz w:val="24"/>
      <w:szCs w:val="24"/>
      <w:lang w:val="zh-CN" w:eastAsia="zh-CN"/>
    </w:rPr>
  </w:style>
  <w:style w:type="paragraph" w:customStyle="1" w:styleId="46">
    <w:name w:val="Стиль4"/>
    <w:basedOn w:val="a0"/>
    <w:link w:val="47"/>
    <w:pPr>
      <w:spacing w:line="360" w:lineRule="auto"/>
    </w:pPr>
    <w:rPr>
      <w:rFonts w:ascii="Calibri" w:eastAsia="Times New Roman" w:hAnsi="Calibri" w:cs="Times New Roman"/>
      <w:b/>
      <w:sz w:val="28"/>
      <w:szCs w:val="28"/>
      <w:lang w:val="zh-CN" w:eastAsia="zh-CN"/>
    </w:rPr>
  </w:style>
  <w:style w:type="paragraph" w:customStyle="1" w:styleId="1ff2">
    <w:name w:val="Строгий1"/>
    <w:basedOn w:val="14"/>
    <w:link w:val="1ff3"/>
    <w:pPr>
      <w:suppressAutoHyphens/>
      <w:spacing w:after="0" w:line="360" w:lineRule="auto"/>
      <w:ind w:left="0" w:firstLine="851"/>
      <w:contextualSpacing/>
      <w:jc w:val="both"/>
    </w:pPr>
    <w:rPr>
      <w:rFonts w:cs="Times New Roman"/>
      <w:b/>
      <w:sz w:val="28"/>
      <w:szCs w:val="22"/>
      <w:lang w:val="zh-CN" w:eastAsia="ar-SA"/>
    </w:rPr>
  </w:style>
  <w:style w:type="character" w:customStyle="1" w:styleId="47">
    <w:name w:val="Стиль4 Знак"/>
    <w:link w:val="46"/>
    <w:rPr>
      <w:rFonts w:ascii="Calibri" w:eastAsia="Times New Roman" w:hAnsi="Calibri" w:cs="Times New Roman"/>
      <w:b/>
      <w:sz w:val="28"/>
      <w:szCs w:val="28"/>
      <w:lang w:val="zh-CN" w:eastAsia="zh-CN"/>
    </w:rPr>
  </w:style>
  <w:style w:type="character" w:customStyle="1" w:styleId="1ff3">
    <w:name w:val="Строгий1 Знак"/>
    <w:link w:val="1ff2"/>
    <w:rPr>
      <w:rFonts w:ascii="Calibri" w:eastAsia="Times New Roman" w:hAnsi="Calibri" w:cs="Times New Roman"/>
      <w:b/>
      <w:sz w:val="28"/>
      <w:lang w:val="zh-CN" w:eastAsia="ar-SA"/>
    </w:rPr>
  </w:style>
  <w:style w:type="character" w:customStyle="1" w:styleId="afffff9">
    <w:name w:val="Гипертекстовая ссылка"/>
    <w:rPr>
      <w:rFonts w:cs="Times New Roman"/>
      <w:color w:val="008000"/>
      <w:sz w:val="20"/>
      <w:szCs w:val="20"/>
      <w:u w:val="single"/>
    </w:rPr>
  </w:style>
  <w:style w:type="character" w:customStyle="1" w:styleId="afffffa">
    <w:name w:val="Цветовое выделение"/>
    <w:rPr>
      <w:b/>
      <w:color w:val="000080"/>
      <w:sz w:val="20"/>
    </w:rPr>
  </w:style>
  <w:style w:type="character" w:customStyle="1" w:styleId="2f4">
    <w:name w:val="Название книги2"/>
    <w:uiPriority w:val="33"/>
    <w:qFormat/>
    <w:rPr>
      <w:rFonts w:ascii="Times New Roman" w:hAnsi="Times New Roman"/>
      <w:b/>
      <w:bCs/>
      <w:smallCaps/>
      <w:spacing w:val="5"/>
      <w:sz w:val="28"/>
    </w:rPr>
  </w:style>
  <w:style w:type="character" w:customStyle="1" w:styleId="150">
    <w:name w:val="Знак Знак15"/>
    <w:rPr>
      <w:b/>
      <w:bCs/>
      <w:sz w:val="24"/>
      <w:szCs w:val="27"/>
    </w:rPr>
  </w:style>
  <w:style w:type="character" w:customStyle="1" w:styleId="160">
    <w:name w:val="Знак Знак16"/>
    <w:rPr>
      <w:b/>
      <w:bCs/>
      <w:i/>
      <w:iCs/>
      <w:sz w:val="26"/>
      <w:szCs w:val="26"/>
    </w:rPr>
  </w:style>
  <w:style w:type="character" w:customStyle="1" w:styleId="131">
    <w:name w:val="Знак Знак13"/>
    <w:rPr>
      <w:b/>
      <w:sz w:val="24"/>
      <w:szCs w:val="24"/>
    </w:rPr>
  </w:style>
  <w:style w:type="character" w:customStyle="1" w:styleId="122">
    <w:name w:val="Знак Знак12"/>
    <w:rPr>
      <w:sz w:val="24"/>
      <w:u w:val="single"/>
    </w:rPr>
  </w:style>
  <w:style w:type="character" w:customStyle="1" w:styleId="100">
    <w:name w:val="Знак Знак10"/>
    <w:rPr>
      <w:b/>
      <w:sz w:val="24"/>
    </w:rPr>
  </w:style>
  <w:style w:type="character" w:customStyle="1" w:styleId="3a">
    <w:name w:val="Знак Знак3"/>
    <w:basedOn w:val="a1"/>
  </w:style>
  <w:style w:type="paragraph" w:customStyle="1" w:styleId="S31">
    <w:name w:val="S_Нумерованный_3.1"/>
    <w:basedOn w:val="a0"/>
    <w:link w:val="S310"/>
    <w:pPr>
      <w:spacing w:line="360" w:lineRule="auto"/>
      <w:ind w:firstLine="720"/>
    </w:pPr>
    <w:rPr>
      <w:rFonts w:ascii="Calibri" w:eastAsia="Times New Roman" w:hAnsi="Calibri" w:cs="Times New Roman"/>
      <w:szCs w:val="24"/>
      <w:lang w:eastAsia="ru-RU"/>
    </w:rPr>
  </w:style>
  <w:style w:type="character" w:customStyle="1" w:styleId="S310">
    <w:name w:val="S_Нумерованный_3.1 Знак Знак"/>
    <w:link w:val="S31"/>
    <w:rPr>
      <w:rFonts w:ascii="Calibri" w:eastAsia="Times New Roman" w:hAnsi="Calibri" w:cs="Times New Roman"/>
      <w:sz w:val="24"/>
      <w:szCs w:val="24"/>
      <w:lang w:eastAsia="ru-RU"/>
    </w:rPr>
  </w:style>
  <w:style w:type="paragraph" w:customStyle="1" w:styleId="S">
    <w:name w:val="S_Маркированный"/>
    <w:basedOn w:val="aff0"/>
    <w:link w:val="S2"/>
    <w:pPr>
      <w:numPr>
        <w:numId w:val="3"/>
      </w:numPr>
      <w:tabs>
        <w:tab w:val="left" w:pos="1260"/>
      </w:tabs>
      <w:snapToGrid/>
    </w:pPr>
    <w:rPr>
      <w:sz w:val="24"/>
      <w:szCs w:val="24"/>
      <w:lang w:val="zh-CN" w:eastAsia="zh-CN"/>
    </w:rPr>
  </w:style>
  <w:style w:type="character" w:customStyle="1" w:styleId="S2">
    <w:name w:val="S_Маркированный Знак Знак"/>
    <w:link w:val="S"/>
    <w:rPr>
      <w:rFonts w:ascii="Times New Roman" w:eastAsia="Times New Roman" w:hAnsi="Times New Roman" w:cs="Times New Roman"/>
      <w:sz w:val="24"/>
      <w:szCs w:val="24"/>
      <w:lang w:val="zh-CN" w:eastAsia="zh-CN"/>
    </w:rPr>
  </w:style>
  <w:style w:type="paragraph" w:customStyle="1" w:styleId="230">
    <w:name w:val="Основной текст 23"/>
    <w:basedOn w:val="a0"/>
    <w:pPr>
      <w:spacing w:line="360" w:lineRule="auto"/>
      <w:ind w:left="-567" w:firstLine="425"/>
    </w:pPr>
    <w:rPr>
      <w:rFonts w:eastAsia="Times New Roman" w:cs="Times New Roman"/>
      <w:sz w:val="22"/>
      <w:szCs w:val="24"/>
      <w:lang w:eastAsia="ru-RU"/>
    </w:rPr>
  </w:style>
  <w:style w:type="paragraph" w:customStyle="1" w:styleId="231">
    <w:name w:val="Основной текст с отступом 23"/>
    <w:basedOn w:val="a0"/>
    <w:pPr>
      <w:spacing w:line="360" w:lineRule="auto"/>
    </w:pPr>
    <w:rPr>
      <w:rFonts w:eastAsia="Times New Roman" w:cs="Times New Roman"/>
      <w:sz w:val="26"/>
      <w:szCs w:val="20"/>
      <w:lang w:eastAsia="ru-RU"/>
    </w:rPr>
  </w:style>
  <w:style w:type="paragraph" w:customStyle="1" w:styleId="312">
    <w:name w:val="Основной текст с отступом 31"/>
    <w:basedOn w:val="a0"/>
    <w:pPr>
      <w:suppressAutoHyphens/>
      <w:spacing w:after="120" w:line="360" w:lineRule="auto"/>
      <w:ind w:left="283"/>
    </w:pPr>
    <w:rPr>
      <w:rFonts w:eastAsia="Times New Roman" w:cs="Times New Roman"/>
      <w:sz w:val="16"/>
      <w:szCs w:val="16"/>
      <w:lang w:eastAsia="ar-SA"/>
    </w:rPr>
  </w:style>
  <w:style w:type="paragraph" w:customStyle="1" w:styleId="xl28">
    <w:name w:val="xl28"/>
    <w:basedOn w:val="a0"/>
    <w:pPr>
      <w:spacing w:before="100" w:beforeAutospacing="1" w:after="100" w:afterAutospacing="1" w:line="360" w:lineRule="auto"/>
      <w:jc w:val="center"/>
      <w:textAlignment w:val="center"/>
    </w:pPr>
    <w:rPr>
      <w:rFonts w:ascii="Arial Unicode MS" w:eastAsia="Arial Unicode MS" w:hAnsi="Arial Unicode MS" w:cs="Arial Unicode MS"/>
      <w:b/>
      <w:bCs/>
      <w:sz w:val="16"/>
      <w:szCs w:val="16"/>
      <w:lang w:eastAsia="ru-RU"/>
    </w:rPr>
  </w:style>
  <w:style w:type="paragraph" w:customStyle="1" w:styleId="115">
    <w:name w:val="Знак1 Знак Знак Знак Знак Знак Знак Знак Знак Знак Знак Знак Знак Знак Знак Знак1"/>
    <w:basedOn w:val="a0"/>
    <w:pPr>
      <w:widowControl w:val="0"/>
      <w:adjustRightInd w:val="0"/>
      <w:spacing w:after="160" w:line="240" w:lineRule="exact"/>
      <w:jc w:val="right"/>
    </w:pPr>
    <w:rPr>
      <w:rFonts w:eastAsia="Times New Roman" w:cs="Times New Roman"/>
      <w:sz w:val="20"/>
      <w:szCs w:val="20"/>
      <w:lang w:val="en-GB"/>
    </w:rPr>
  </w:style>
  <w:style w:type="paragraph" w:customStyle="1" w:styleId="afffffb">
    <w:name w:val="Стиль пункта схемы Знак Знак"/>
    <w:basedOn w:val="a0"/>
    <w:link w:val="afffffc"/>
    <w:pPr>
      <w:autoSpaceDE w:val="0"/>
      <w:autoSpaceDN w:val="0"/>
      <w:adjustRightInd w:val="0"/>
      <w:spacing w:line="360" w:lineRule="auto"/>
      <w:ind w:firstLine="680"/>
    </w:pPr>
    <w:rPr>
      <w:rFonts w:ascii="Calibri" w:eastAsia="Times New Roman" w:hAnsi="Calibri" w:cs="Times New Roman"/>
      <w:sz w:val="28"/>
      <w:szCs w:val="28"/>
      <w:lang w:eastAsia="ru-RU"/>
    </w:rPr>
  </w:style>
  <w:style w:type="character" w:customStyle="1" w:styleId="afffffc">
    <w:name w:val="Стиль пункта схемы Знак Знак Знак"/>
    <w:link w:val="afffffb"/>
    <w:rPr>
      <w:rFonts w:ascii="Calibri" w:eastAsia="Times New Roman" w:hAnsi="Calibri" w:cs="Times New Roman"/>
      <w:sz w:val="28"/>
      <w:szCs w:val="28"/>
      <w:lang w:eastAsia="ru-RU"/>
    </w:rPr>
  </w:style>
  <w:style w:type="paragraph" w:customStyle="1" w:styleId="afffffd">
    <w:name w:val="Стиль заключения Знак"/>
    <w:basedOn w:val="a0"/>
    <w:link w:val="afffffe"/>
    <w:pPr>
      <w:spacing w:line="360" w:lineRule="auto"/>
      <w:ind w:firstLine="720"/>
    </w:pPr>
    <w:rPr>
      <w:rFonts w:ascii="Calibri" w:eastAsia="Times New Roman" w:hAnsi="Calibri" w:cs="Times New Roman"/>
      <w:sz w:val="28"/>
      <w:szCs w:val="28"/>
      <w:lang w:val="zh-CN" w:eastAsia="zh-CN"/>
    </w:rPr>
  </w:style>
  <w:style w:type="character" w:customStyle="1" w:styleId="afffffe">
    <w:name w:val="Стиль заключения Знак Знак"/>
    <w:link w:val="afffffd"/>
    <w:rPr>
      <w:rFonts w:ascii="Calibri" w:eastAsia="Times New Roman" w:hAnsi="Calibri" w:cs="Times New Roman"/>
      <w:sz w:val="28"/>
      <w:szCs w:val="28"/>
      <w:lang w:val="zh-CN" w:eastAsia="zh-CN"/>
    </w:rPr>
  </w:style>
  <w:style w:type="paragraph" w:customStyle="1" w:styleId="affffff">
    <w:name w:val="Стиль пункта схемы Знак"/>
    <w:basedOn w:val="a0"/>
    <w:pPr>
      <w:autoSpaceDE w:val="0"/>
      <w:autoSpaceDN w:val="0"/>
      <w:adjustRightInd w:val="0"/>
      <w:spacing w:line="360" w:lineRule="auto"/>
      <w:ind w:firstLine="680"/>
    </w:pPr>
    <w:rPr>
      <w:rFonts w:eastAsia="Times New Roman" w:cs="Times New Roman"/>
      <w:sz w:val="28"/>
      <w:szCs w:val="28"/>
      <w:lang w:eastAsia="ru-RU"/>
    </w:rPr>
  </w:style>
  <w:style w:type="paragraph" w:customStyle="1" w:styleId="1ff4">
    <w:name w:val="Знак1 Знак Знак 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cs="Times New Roman"/>
      <w:szCs w:val="24"/>
      <w:lang w:val="en-US"/>
    </w:rPr>
  </w:style>
  <w:style w:type="table" w:customStyle="1" w:styleId="95">
    <w:name w:val="Сетка таблицы9"/>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 11"/>
    <w:basedOn w:val="a2"/>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123">
    <w:name w:val="Сетка таблицы12"/>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
    <w:name w:val="Text Знак Знак1"/>
    <w:rPr>
      <w:sz w:val="24"/>
      <w:szCs w:val="24"/>
      <w:lang w:val="ru-RU" w:eastAsia="en-US" w:bidi="ar-SA"/>
    </w:rPr>
  </w:style>
  <w:style w:type="paragraph" w:customStyle="1" w:styleId="2f5">
    <w:name w:val="Обычный2"/>
    <w:pPr>
      <w:snapToGrid w:val="0"/>
    </w:pPr>
    <w:rPr>
      <w:rFonts w:eastAsia="Times New Roman"/>
      <w:sz w:val="22"/>
    </w:rPr>
  </w:style>
  <w:style w:type="character" w:customStyle="1" w:styleId="2f6">
    <w:name w:val="Слабая ссылка2"/>
    <w:qFormat/>
    <w:rPr>
      <w:smallCaps/>
    </w:rPr>
  </w:style>
  <w:style w:type="paragraph" w:customStyle="1" w:styleId="Euro12">
    <w:name w:val="Euro 12"/>
    <w:pPr>
      <w:widowControl w:val="0"/>
      <w:autoSpaceDE w:val="0"/>
      <w:autoSpaceDN w:val="0"/>
      <w:adjustRightInd w:val="0"/>
      <w:jc w:val="both"/>
    </w:pPr>
    <w:rPr>
      <w:rFonts w:ascii="Europe" w:eastAsia="Times New Roman" w:hAnsi="Europe"/>
      <w:color w:val="000000"/>
      <w:sz w:val="24"/>
    </w:rPr>
  </w:style>
  <w:style w:type="paragraph" w:customStyle="1" w:styleId="-11">
    <w:name w:val="Список-1"/>
    <w:basedOn w:val="22"/>
    <w:pPr>
      <w:spacing w:after="0" w:line="240" w:lineRule="auto"/>
    </w:pPr>
  </w:style>
  <w:style w:type="paragraph" w:customStyle="1" w:styleId="affffff0">
    <w:name w:val="Название табл"/>
    <w:basedOn w:val="a0"/>
    <w:pPr>
      <w:overflowPunct w:val="0"/>
      <w:autoSpaceDE w:val="0"/>
      <w:autoSpaceDN w:val="0"/>
      <w:adjustRightInd w:val="0"/>
      <w:spacing w:before="220"/>
      <w:ind w:firstLine="0"/>
      <w:jc w:val="right"/>
      <w:textAlignment w:val="baseline"/>
    </w:pPr>
    <w:rPr>
      <w:rFonts w:eastAsia="Times New Roman" w:cs="Times New Roman"/>
      <w:b/>
      <w:sz w:val="22"/>
      <w:szCs w:val="24"/>
    </w:rPr>
  </w:style>
  <w:style w:type="character" w:customStyle="1" w:styleId="75">
    <w:name w:val="Знак7 Знак"/>
    <w:rPr>
      <w:rFonts w:ascii="Arial" w:hAnsi="Arial"/>
      <w:b/>
      <w:bCs/>
      <w:iCs/>
      <w:sz w:val="18"/>
      <w:szCs w:val="28"/>
      <w:lang w:val="ru-RU" w:eastAsia="en-US" w:bidi="ar-SA"/>
    </w:rPr>
  </w:style>
  <w:style w:type="paragraph" w:customStyle="1" w:styleId="Table1">
    <w:name w:val="Table1"/>
    <w:basedOn w:val="a0"/>
    <w:pPr>
      <w:widowControl w:val="0"/>
      <w:spacing w:before="40" w:after="40"/>
      <w:ind w:left="851" w:firstLine="0"/>
      <w:jc w:val="left"/>
    </w:pPr>
    <w:rPr>
      <w:rFonts w:ascii="AGOpus" w:eastAsia="Times New Roman" w:hAnsi="AGOpus" w:cs="Times New Roman"/>
      <w:snapToGrid w:val="0"/>
      <w:color w:val="000000"/>
      <w:sz w:val="16"/>
      <w:szCs w:val="20"/>
      <w:lang w:val="en-US" w:eastAsia="ja-JP"/>
    </w:rPr>
  </w:style>
  <w:style w:type="paragraph" w:customStyle="1" w:styleId="txt">
    <w:name w:val="txt"/>
    <w:basedOn w:val="a0"/>
    <w:pPr>
      <w:spacing w:before="40" w:after="100"/>
      <w:ind w:firstLine="0"/>
      <w:jc w:val="left"/>
    </w:pPr>
    <w:rPr>
      <w:rFonts w:ascii="Verdana" w:eastAsia="Times New Roman" w:hAnsi="Verdana" w:cs="Times New Roman"/>
      <w:color w:val="414141"/>
      <w:sz w:val="22"/>
      <w:lang w:eastAsia="ru-RU"/>
    </w:rPr>
  </w:style>
  <w:style w:type="paragraph" w:customStyle="1" w:styleId="811">
    <w:name w:val="Знак8 Знак Знак Знак Знак Знак Знак1"/>
    <w:basedOn w:val="a0"/>
    <w:pPr>
      <w:widowControl w:val="0"/>
      <w:adjustRightInd w:val="0"/>
      <w:spacing w:after="160" w:line="240" w:lineRule="exact"/>
      <w:ind w:firstLine="0"/>
      <w:jc w:val="right"/>
    </w:pPr>
    <w:rPr>
      <w:rFonts w:eastAsia="Times New Roman" w:cs="Times New Roman"/>
      <w:sz w:val="20"/>
      <w:szCs w:val="20"/>
      <w:lang w:val="en-GB"/>
    </w:rPr>
  </w:style>
  <w:style w:type="paragraph" w:customStyle="1" w:styleId="411">
    <w:name w:val="Знак4 Знак Знак Знак Знак Знак Знак Знак Знак Знак1 Знак Знак Знак Знак Знак Знак Знак Знак"/>
    <w:basedOn w:val="a0"/>
    <w:pPr>
      <w:widowControl w:val="0"/>
      <w:adjustRightInd w:val="0"/>
      <w:spacing w:after="160" w:line="240" w:lineRule="exact"/>
      <w:ind w:firstLine="0"/>
      <w:jc w:val="right"/>
    </w:pPr>
    <w:rPr>
      <w:rFonts w:eastAsia="Times New Roman" w:cs="Times New Roman"/>
      <w:sz w:val="20"/>
      <w:szCs w:val="20"/>
      <w:lang w:val="en-GB"/>
    </w:rPr>
  </w:style>
  <w:style w:type="paragraph" w:customStyle="1" w:styleId="76">
    <w:name w:val="Знак7 Знак Знак Знак"/>
    <w:basedOn w:val="a0"/>
    <w:pPr>
      <w:widowControl w:val="0"/>
      <w:adjustRightInd w:val="0"/>
      <w:spacing w:after="160" w:line="240" w:lineRule="exact"/>
      <w:ind w:firstLine="0"/>
      <w:jc w:val="right"/>
    </w:pPr>
    <w:rPr>
      <w:rFonts w:eastAsia="Times New Roman" w:cs="Times New Roman"/>
      <w:sz w:val="20"/>
      <w:szCs w:val="20"/>
      <w:lang w:val="en-GB"/>
    </w:rPr>
  </w:style>
  <w:style w:type="character" w:customStyle="1" w:styleId="af4">
    <w:name w:val="Текст концевой сноски Знак"/>
    <w:basedOn w:val="a1"/>
    <w:link w:val="af3"/>
    <w:rPr>
      <w:rFonts w:ascii="Calibri" w:eastAsia="Times New Roman" w:hAnsi="Calibri" w:cs="Times New Roman"/>
      <w:sz w:val="20"/>
      <w:szCs w:val="20"/>
      <w:lang w:val="zh-CN"/>
    </w:rPr>
  </w:style>
  <w:style w:type="table" w:customStyle="1" w:styleId="132">
    <w:name w:val="Сетка таблицы13"/>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 12"/>
    <w:basedOn w:val="a2"/>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paragraph" w:customStyle="1" w:styleId="Default">
    <w:name w:val="Default"/>
    <w:pPr>
      <w:autoSpaceDE w:val="0"/>
      <w:autoSpaceDN w:val="0"/>
      <w:adjustRightInd w:val="0"/>
    </w:pPr>
    <w:rPr>
      <w:rFonts w:eastAsia="Times New Roman"/>
      <w:color w:val="000000"/>
      <w:sz w:val="24"/>
      <w:szCs w:val="24"/>
    </w:rPr>
  </w:style>
  <w:style w:type="character" w:customStyle="1" w:styleId="affffff1">
    <w:name w:val="Обычный (Интернет) Знак"/>
    <w:rPr>
      <w:color w:val="000000"/>
      <w:sz w:val="24"/>
      <w:szCs w:val="24"/>
    </w:rPr>
  </w:style>
  <w:style w:type="paragraph" w:customStyle="1" w:styleId="msonormalmailrucssattributepostfixmailrucssattributepostfix">
    <w:name w:val="msonormal_mailru_css_attribute_postfix_mailru_css_attribute_postfix"/>
    <w:basedOn w:val="a0"/>
    <w:pPr>
      <w:spacing w:before="100" w:beforeAutospacing="1" w:after="100" w:afterAutospacing="1"/>
      <w:ind w:firstLine="0"/>
      <w:jc w:val="left"/>
    </w:pPr>
    <w:rPr>
      <w:rFonts w:eastAsia="Times New Roman" w:cs="Times New Roman"/>
      <w:szCs w:val="24"/>
      <w:lang w:eastAsia="ru-RU"/>
    </w:rPr>
  </w:style>
  <w:style w:type="paragraph" w:customStyle="1" w:styleId="msonormal0">
    <w:name w:val="msonormal"/>
    <w:basedOn w:val="a0"/>
    <w:pPr>
      <w:spacing w:before="100" w:beforeAutospacing="1" w:after="100" w:afterAutospacing="1"/>
      <w:ind w:firstLine="0"/>
      <w:jc w:val="left"/>
    </w:pPr>
    <w:rPr>
      <w:rFonts w:eastAsia="Times New Roman" w:cs="Times New Roman"/>
      <w:szCs w:val="24"/>
      <w:lang w:eastAsia="ru-RU"/>
    </w:rPr>
  </w:style>
  <w:style w:type="character" w:customStyle="1" w:styleId="searchtext">
    <w:name w:val="searchtext"/>
  </w:style>
  <w:style w:type="character" w:customStyle="1" w:styleId="ae">
    <w:name w:val="Текст примечания Знак"/>
    <w:basedOn w:val="a1"/>
    <w:link w:val="ad"/>
    <w:rPr>
      <w:rFonts w:ascii="Calibri" w:eastAsia="Times New Roman" w:hAnsi="Calibri" w:cs="Times New Roman"/>
      <w:sz w:val="20"/>
      <w:szCs w:val="20"/>
      <w:lang w:val="zh-CN"/>
    </w:rPr>
  </w:style>
  <w:style w:type="character" w:customStyle="1" w:styleId="af0">
    <w:name w:val="Тема примечания Знак"/>
    <w:basedOn w:val="ae"/>
    <w:link w:val="af"/>
    <w:rPr>
      <w:rFonts w:ascii="Calibri" w:eastAsia="Times New Roman" w:hAnsi="Calibri" w:cs="Times New Roman"/>
      <w:b/>
      <w:bCs/>
      <w:sz w:val="20"/>
      <w:szCs w:val="20"/>
      <w:lang w:val="zh-CN"/>
    </w:rPr>
  </w:style>
  <w:style w:type="character" w:customStyle="1" w:styleId="fontstyle01">
    <w:name w:val="fontstyle01"/>
    <w:rPr>
      <w:rFonts w:ascii="Times New Roman" w:hAnsi="Times New Roman" w:cs="Times New Roman" w:hint="default"/>
      <w:color w:val="000000"/>
      <w:sz w:val="28"/>
      <w:szCs w:val="28"/>
    </w:rPr>
  </w:style>
  <w:style w:type="character" w:customStyle="1" w:styleId="UnresolvedMention">
    <w:name w:val="Unresolved Mention"/>
    <w:uiPriority w:val="99"/>
    <w:semiHidden/>
    <w:unhideWhenUsed/>
    <w:rPr>
      <w:color w:val="605E5C"/>
      <w:shd w:val="clear" w:color="auto" w:fill="E1DFDD"/>
    </w:rPr>
  </w:style>
  <w:style w:type="character" w:customStyle="1" w:styleId="affffff2">
    <w:name w:val="Абзац Знак Знак"/>
    <w:rPr>
      <w:rFonts w:ascii="Times New Roman" w:hAnsi="Times New Roman"/>
      <w:sz w:val="24"/>
      <w:szCs w:val="24"/>
    </w:rPr>
  </w:style>
  <w:style w:type="character" w:customStyle="1" w:styleId="affffff3">
    <w:name w:val="Сноска_"/>
    <w:link w:val="affffff4"/>
    <w:rPr>
      <w:rFonts w:ascii="Times New Roman" w:hAnsi="Times New Roman"/>
    </w:rPr>
  </w:style>
  <w:style w:type="paragraph" w:customStyle="1" w:styleId="affffff4">
    <w:name w:val="Сноска"/>
    <w:basedOn w:val="a0"/>
    <w:link w:val="affffff3"/>
    <w:pPr>
      <w:widowControl w:val="0"/>
      <w:ind w:left="320" w:firstLine="540"/>
      <w:jc w:val="left"/>
    </w:pPr>
    <w:rPr>
      <w:sz w:val="22"/>
    </w:rPr>
  </w:style>
  <w:style w:type="character" w:customStyle="1" w:styleId="3b">
    <w:name w:val="Основной текст (3)_"/>
    <w:link w:val="3c"/>
    <w:rPr>
      <w:rFonts w:ascii="Arial" w:eastAsia="Arial" w:hAnsi="Arial" w:cs="Arial"/>
    </w:rPr>
  </w:style>
  <w:style w:type="paragraph" w:customStyle="1" w:styleId="3c">
    <w:name w:val="Основной текст (3)"/>
    <w:basedOn w:val="a0"/>
    <w:link w:val="3b"/>
    <w:pPr>
      <w:widowControl w:val="0"/>
      <w:spacing w:after="260"/>
      <w:ind w:firstLine="0"/>
      <w:jc w:val="center"/>
    </w:pPr>
    <w:rPr>
      <w:rFonts w:ascii="Arial" w:eastAsia="Arial" w:hAnsi="Arial" w:cs="Arial"/>
      <w:sz w:val="22"/>
    </w:rPr>
  </w:style>
  <w:style w:type="character" w:customStyle="1" w:styleId="55">
    <w:name w:val="Основной текст (5)_"/>
    <w:link w:val="56"/>
    <w:rPr>
      <w:rFonts w:ascii="Times New Roman" w:hAnsi="Times New Roman"/>
      <w:sz w:val="44"/>
      <w:szCs w:val="44"/>
    </w:rPr>
  </w:style>
  <w:style w:type="paragraph" w:customStyle="1" w:styleId="56">
    <w:name w:val="Основной текст (5)"/>
    <w:basedOn w:val="a0"/>
    <w:link w:val="55"/>
    <w:pPr>
      <w:widowControl w:val="0"/>
      <w:spacing w:after="7240"/>
      <w:ind w:firstLine="0"/>
      <w:jc w:val="center"/>
    </w:pPr>
    <w:rPr>
      <w:sz w:val="44"/>
      <w:szCs w:val="44"/>
    </w:rPr>
  </w:style>
  <w:style w:type="character" w:customStyle="1" w:styleId="48">
    <w:name w:val="Основной текст (4)_"/>
    <w:link w:val="49"/>
    <w:rPr>
      <w:rFonts w:ascii="Arial" w:eastAsia="Arial" w:hAnsi="Arial" w:cs="Arial"/>
    </w:rPr>
  </w:style>
  <w:style w:type="paragraph" w:customStyle="1" w:styleId="49">
    <w:name w:val="Основной текст (4)"/>
    <w:basedOn w:val="a0"/>
    <w:link w:val="48"/>
    <w:qFormat/>
    <w:pPr>
      <w:widowControl w:val="0"/>
      <w:spacing w:after="2700"/>
      <w:ind w:firstLine="0"/>
      <w:jc w:val="center"/>
    </w:pPr>
    <w:rPr>
      <w:rFonts w:ascii="Arial" w:eastAsia="Arial" w:hAnsi="Arial" w:cs="Arial"/>
      <w:sz w:val="22"/>
    </w:rPr>
  </w:style>
  <w:style w:type="character" w:customStyle="1" w:styleId="2f7">
    <w:name w:val="Колонтитул (2)_"/>
    <w:link w:val="2f8"/>
    <w:rPr>
      <w:rFonts w:ascii="Times New Roman" w:hAnsi="Times New Roman"/>
    </w:rPr>
  </w:style>
  <w:style w:type="paragraph" w:customStyle="1" w:styleId="2f8">
    <w:name w:val="Колонтитул (2)"/>
    <w:basedOn w:val="a0"/>
    <w:link w:val="2f7"/>
    <w:pPr>
      <w:widowControl w:val="0"/>
      <w:ind w:firstLine="0"/>
      <w:jc w:val="left"/>
    </w:pPr>
    <w:rPr>
      <w:sz w:val="22"/>
    </w:rPr>
  </w:style>
  <w:style w:type="character" w:customStyle="1" w:styleId="1ff5">
    <w:name w:val="Заголовок №1_"/>
    <w:link w:val="1ff6"/>
    <w:rPr>
      <w:rFonts w:ascii="Times New Roman" w:hAnsi="Times New Roman"/>
      <w:sz w:val="48"/>
      <w:szCs w:val="48"/>
    </w:rPr>
  </w:style>
  <w:style w:type="paragraph" w:customStyle="1" w:styleId="1ff6">
    <w:name w:val="Заголовок №1"/>
    <w:basedOn w:val="a0"/>
    <w:link w:val="1ff5"/>
    <w:pPr>
      <w:widowControl w:val="0"/>
      <w:spacing w:line="202" w:lineRule="auto"/>
      <w:ind w:firstLine="0"/>
      <w:jc w:val="center"/>
      <w:outlineLvl w:val="0"/>
    </w:pPr>
    <w:rPr>
      <w:sz w:val="48"/>
      <w:szCs w:val="48"/>
    </w:rPr>
  </w:style>
  <w:style w:type="character" w:customStyle="1" w:styleId="affffff5">
    <w:name w:val="Подпись к картинке_"/>
    <w:link w:val="affffff6"/>
    <w:rPr>
      <w:rFonts w:ascii="Arial" w:eastAsia="Arial" w:hAnsi="Arial" w:cs="Arial"/>
    </w:rPr>
  </w:style>
  <w:style w:type="paragraph" w:customStyle="1" w:styleId="affffff6">
    <w:name w:val="Подпись к картинке"/>
    <w:basedOn w:val="a0"/>
    <w:link w:val="affffff5"/>
    <w:pPr>
      <w:widowControl w:val="0"/>
      <w:ind w:firstLine="0"/>
      <w:jc w:val="center"/>
    </w:pPr>
    <w:rPr>
      <w:rFonts w:ascii="Arial" w:eastAsia="Arial" w:hAnsi="Arial" w:cs="Arial"/>
      <w:sz w:val="22"/>
    </w:rPr>
  </w:style>
  <w:style w:type="character" w:customStyle="1" w:styleId="affffb">
    <w:name w:val="Основной текст_"/>
    <w:link w:val="1f8"/>
    <w:rPr>
      <w:rFonts w:ascii="Times New Roman" w:eastAsia="Times New Roman" w:hAnsi="Times New Roman" w:cs="Times New Roman"/>
      <w:sz w:val="24"/>
      <w:szCs w:val="20"/>
      <w:lang w:eastAsia="ru-RU"/>
    </w:rPr>
  </w:style>
  <w:style w:type="character" w:customStyle="1" w:styleId="affffff7">
    <w:name w:val="Оглавление_"/>
    <w:link w:val="affffff8"/>
    <w:rPr>
      <w:rFonts w:ascii="Times New Roman" w:hAnsi="Times New Roman"/>
    </w:rPr>
  </w:style>
  <w:style w:type="paragraph" w:customStyle="1" w:styleId="affffff8">
    <w:name w:val="Оглавление"/>
    <w:basedOn w:val="a0"/>
    <w:link w:val="affffff7"/>
    <w:pPr>
      <w:widowControl w:val="0"/>
      <w:ind w:firstLine="0"/>
      <w:jc w:val="left"/>
    </w:pPr>
    <w:rPr>
      <w:sz w:val="22"/>
    </w:rPr>
  </w:style>
  <w:style w:type="character" w:customStyle="1" w:styleId="affffff9">
    <w:name w:val="Подпись к таблице_"/>
    <w:link w:val="affffffa"/>
    <w:rPr>
      <w:rFonts w:ascii="Times New Roman" w:hAnsi="Times New Roman"/>
    </w:rPr>
  </w:style>
  <w:style w:type="paragraph" w:customStyle="1" w:styleId="affffffa">
    <w:name w:val="Подпись к таблице"/>
    <w:basedOn w:val="a0"/>
    <w:link w:val="affffff9"/>
    <w:pPr>
      <w:widowControl w:val="0"/>
      <w:ind w:firstLine="0"/>
      <w:jc w:val="left"/>
    </w:pPr>
    <w:rPr>
      <w:sz w:val="22"/>
    </w:rPr>
  </w:style>
  <w:style w:type="character" w:customStyle="1" w:styleId="2f9">
    <w:name w:val="Основной текст (2)_"/>
    <w:rPr>
      <w:rFonts w:ascii="Times New Roman" w:eastAsia="Times New Roman" w:hAnsi="Times New Roman" w:cs="Times New Roman"/>
      <w:sz w:val="20"/>
      <w:szCs w:val="20"/>
      <w:u w:val="none"/>
      <w:shd w:val="clear" w:color="auto" w:fill="auto"/>
    </w:rPr>
  </w:style>
  <w:style w:type="character" w:customStyle="1" w:styleId="affffffb">
    <w:name w:val="Колонтитул_"/>
    <w:link w:val="affffffc"/>
    <w:rPr>
      <w:rFonts w:ascii="Times New Roman" w:hAnsi="Times New Roman"/>
    </w:rPr>
  </w:style>
  <w:style w:type="paragraph" w:customStyle="1" w:styleId="affffffc">
    <w:name w:val="Колонтитул"/>
    <w:basedOn w:val="a0"/>
    <w:link w:val="affffffb"/>
    <w:pPr>
      <w:widowControl w:val="0"/>
      <w:ind w:firstLine="0"/>
      <w:jc w:val="left"/>
    </w:pPr>
    <w:rPr>
      <w:sz w:val="22"/>
    </w:rPr>
  </w:style>
  <w:style w:type="character" w:customStyle="1" w:styleId="88">
    <w:name w:val="Основной текст (8)_"/>
    <w:link w:val="89"/>
    <w:rPr>
      <w:rFonts w:ascii="Times New Roman" w:hAnsi="Times New Roman"/>
      <w:sz w:val="28"/>
      <w:szCs w:val="28"/>
    </w:rPr>
  </w:style>
  <w:style w:type="paragraph" w:customStyle="1" w:styleId="89">
    <w:name w:val="Основной текст (8)"/>
    <w:basedOn w:val="a0"/>
    <w:link w:val="88"/>
    <w:pPr>
      <w:widowControl w:val="0"/>
      <w:ind w:firstLine="0"/>
      <w:jc w:val="center"/>
    </w:pPr>
    <w:rPr>
      <w:sz w:val="28"/>
      <w:szCs w:val="28"/>
    </w:rPr>
  </w:style>
  <w:style w:type="character" w:customStyle="1" w:styleId="2fa">
    <w:name w:val="Заголовок №2_"/>
    <w:link w:val="2fb"/>
    <w:rPr>
      <w:rFonts w:ascii="Times New Roman" w:hAnsi="Times New Roman"/>
      <w:sz w:val="28"/>
      <w:szCs w:val="28"/>
    </w:rPr>
  </w:style>
  <w:style w:type="paragraph" w:customStyle="1" w:styleId="2fb">
    <w:name w:val="Заголовок №2"/>
    <w:basedOn w:val="a0"/>
    <w:link w:val="2fa"/>
    <w:pPr>
      <w:widowControl w:val="0"/>
      <w:spacing w:after="300"/>
      <w:ind w:left="5780" w:firstLine="0"/>
      <w:jc w:val="left"/>
      <w:outlineLvl w:val="1"/>
    </w:pPr>
    <w:rPr>
      <w:sz w:val="28"/>
      <w:szCs w:val="28"/>
    </w:rPr>
  </w:style>
  <w:style w:type="character" w:customStyle="1" w:styleId="96">
    <w:name w:val="Основной текст (9)_"/>
    <w:link w:val="97"/>
    <w:rPr>
      <w:rFonts w:ascii="Times New Roman" w:hAnsi="Times New Roman"/>
      <w:color w:val="353536"/>
      <w:sz w:val="18"/>
      <w:szCs w:val="18"/>
    </w:rPr>
  </w:style>
  <w:style w:type="paragraph" w:customStyle="1" w:styleId="97">
    <w:name w:val="Основной текст (9)"/>
    <w:basedOn w:val="a0"/>
    <w:link w:val="96"/>
    <w:pPr>
      <w:widowControl w:val="0"/>
      <w:spacing w:after="40" w:line="276" w:lineRule="auto"/>
      <w:ind w:left="1080" w:firstLine="0"/>
      <w:jc w:val="left"/>
    </w:pPr>
    <w:rPr>
      <w:color w:val="353536"/>
      <w:sz w:val="18"/>
      <w:szCs w:val="18"/>
    </w:rPr>
  </w:style>
  <w:style w:type="character" w:customStyle="1" w:styleId="64">
    <w:name w:val="Основной текст (6)_"/>
    <w:link w:val="65"/>
    <w:rPr>
      <w:rFonts w:ascii="Times New Roman" w:hAnsi="Times New Roman"/>
      <w:color w:val="202020"/>
    </w:rPr>
  </w:style>
  <w:style w:type="paragraph" w:customStyle="1" w:styleId="65">
    <w:name w:val="Основной текст (6)"/>
    <w:basedOn w:val="a0"/>
    <w:link w:val="64"/>
    <w:pPr>
      <w:widowControl w:val="0"/>
      <w:spacing w:after="220"/>
      <w:ind w:firstLine="540"/>
      <w:jc w:val="left"/>
    </w:pPr>
    <w:rPr>
      <w:color w:val="202020"/>
      <w:sz w:val="22"/>
    </w:rPr>
  </w:style>
  <w:style w:type="character" w:customStyle="1" w:styleId="66">
    <w:name w:val="Заголовок №6_"/>
    <w:link w:val="67"/>
    <w:rPr>
      <w:rFonts w:ascii="Times New Roman" w:hAnsi="Times New Roman"/>
    </w:rPr>
  </w:style>
  <w:style w:type="paragraph" w:customStyle="1" w:styleId="67">
    <w:name w:val="Заголовок №6"/>
    <w:basedOn w:val="a0"/>
    <w:link w:val="66"/>
    <w:pPr>
      <w:widowControl w:val="0"/>
      <w:spacing w:after="400" w:line="360" w:lineRule="auto"/>
      <w:ind w:firstLine="720"/>
      <w:jc w:val="left"/>
      <w:outlineLvl w:val="5"/>
    </w:pPr>
    <w:rPr>
      <w:sz w:val="22"/>
    </w:rPr>
  </w:style>
  <w:style w:type="character" w:customStyle="1" w:styleId="FontStyle425">
    <w:name w:val="Font Style425"/>
    <w:uiPriority w:val="99"/>
    <w:rPr>
      <w:rFonts w:ascii="Times New Roman" w:hAnsi="Times New Roman" w:cs="Times New Roman"/>
      <w:sz w:val="22"/>
      <w:szCs w:val="22"/>
    </w:rPr>
  </w:style>
  <w:style w:type="paragraph" w:customStyle="1" w:styleId="s10">
    <w:name w:val="s_1"/>
    <w:basedOn w:val="a0"/>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0"/>
    <w:pPr>
      <w:spacing w:before="100" w:beforeAutospacing="1" w:after="100" w:afterAutospacing="1"/>
      <w:ind w:firstLine="0"/>
      <w:jc w:val="left"/>
    </w:pPr>
    <w:rPr>
      <w:rFonts w:eastAsia="Times New Roman" w:cs="Times New Roman"/>
      <w:szCs w:val="24"/>
      <w:lang w:eastAsia="ru-RU"/>
    </w:rPr>
  </w:style>
  <w:style w:type="character" w:customStyle="1" w:styleId="post-offices-offices-item-name">
    <w:name w:val="post-offices-offices-item-name"/>
    <w:basedOn w:val="a1"/>
  </w:style>
  <w:style w:type="paragraph" w:customStyle="1" w:styleId="2fc">
    <w:name w:val="???????? ????? 2"/>
    <w:basedOn w:val="a0"/>
    <w:pPr>
      <w:widowControl w:val="0"/>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character" w:customStyle="1" w:styleId="1ff7">
    <w:name w:val="Обычный (веб) Знак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186E1-4FA6-473C-A884-91991395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102</Pages>
  <Words>40079</Words>
  <Characters>228456</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Тимченко</dc:creator>
  <cp:lastModifiedBy>Пользователь Windows</cp:lastModifiedBy>
  <cp:revision>1149</cp:revision>
  <dcterms:created xsi:type="dcterms:W3CDTF">2022-03-14T03:42:00Z</dcterms:created>
  <dcterms:modified xsi:type="dcterms:W3CDTF">2022-08-30T02:41:00Z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1033-11.2.0.11210</vt:lpwstr>
  </property>
  <property fmtid="{D5CDD505-2E9C-101B-9397-08002B2CF9AE}" pid="3" name="ICV">
    <vt:lpwstr>EB37AF22DD6844DFAFDC145CC9642126</vt:lpwstr>
  </property>
</Properties>
</file>