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8F" w:rsidRDefault="003D0D8F" w:rsidP="003D0D8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D0D8F" w:rsidRDefault="003D0D8F" w:rsidP="003D0D8F">
      <w:pPr>
        <w:pStyle w:val="ConsPlusNormal"/>
        <w:outlineLvl w:val="0"/>
      </w:pPr>
    </w:p>
    <w:p w:rsidR="003D0D8F" w:rsidRDefault="003D0D8F" w:rsidP="003D0D8F">
      <w:pPr>
        <w:pStyle w:val="ConsPlusTitle"/>
        <w:jc w:val="center"/>
      </w:pPr>
      <w:r>
        <w:t>ПРАВИТЕЛЬСТВО ЛЕНИНГРАДСКОЙ ОБЛАСТИ</w:t>
      </w:r>
    </w:p>
    <w:p w:rsidR="003D0D8F" w:rsidRDefault="003D0D8F" w:rsidP="003D0D8F">
      <w:pPr>
        <w:pStyle w:val="ConsPlusTitle"/>
        <w:jc w:val="center"/>
      </w:pPr>
    </w:p>
    <w:p w:rsidR="003D0D8F" w:rsidRDefault="003D0D8F" w:rsidP="003D0D8F">
      <w:pPr>
        <w:pStyle w:val="ConsPlusTitle"/>
        <w:jc w:val="center"/>
      </w:pPr>
      <w:r>
        <w:t>ПОСТАНОВЛЕНИЕ</w:t>
      </w:r>
    </w:p>
    <w:p w:rsidR="003D0D8F" w:rsidRDefault="003D0D8F" w:rsidP="003D0D8F">
      <w:pPr>
        <w:pStyle w:val="ConsPlusTitle"/>
        <w:jc w:val="center"/>
      </w:pPr>
      <w:r>
        <w:t>от 11 ноября 2021 г. N 714</w:t>
      </w:r>
    </w:p>
    <w:p w:rsidR="003D0D8F" w:rsidRDefault="003D0D8F" w:rsidP="003D0D8F">
      <w:pPr>
        <w:pStyle w:val="ConsPlusTitle"/>
        <w:jc w:val="center"/>
      </w:pPr>
    </w:p>
    <w:p w:rsidR="003D0D8F" w:rsidRDefault="003D0D8F" w:rsidP="003D0D8F">
      <w:pPr>
        <w:pStyle w:val="ConsPlusTitle"/>
        <w:jc w:val="center"/>
      </w:pPr>
      <w:r>
        <w:t>О ВНЕСЕНИИ ИЗМЕНЕНИЙ В ПОСТАНОВЛЕНИЕ ПРАВИТЕЛЬСТВА</w:t>
      </w:r>
    </w:p>
    <w:p w:rsidR="003D0D8F" w:rsidRDefault="003D0D8F" w:rsidP="003D0D8F">
      <w:pPr>
        <w:pStyle w:val="ConsPlusTitle"/>
        <w:jc w:val="center"/>
      </w:pPr>
      <w:r>
        <w:t>ЛЕНИНГРАДСКОЙ ОБЛАСТИ ОТ 22 МАРТА 2012 ГОДА N 83</w:t>
      </w:r>
    </w:p>
    <w:p w:rsidR="003D0D8F" w:rsidRDefault="003D0D8F" w:rsidP="003D0D8F">
      <w:pPr>
        <w:pStyle w:val="ConsPlusTitle"/>
        <w:jc w:val="center"/>
      </w:pPr>
      <w:r>
        <w:t xml:space="preserve">"ОБ УТВЕРЖДЕНИИ РЕГИОНАЛЬНЫХ НОРМАТИВОВ </w:t>
      </w:r>
      <w:proofErr w:type="gramStart"/>
      <w:r>
        <w:t>ГРАДОСТРОИТЕЛЬНОГО</w:t>
      </w:r>
      <w:proofErr w:type="gramEnd"/>
    </w:p>
    <w:p w:rsidR="003D0D8F" w:rsidRDefault="003D0D8F" w:rsidP="003D0D8F">
      <w:pPr>
        <w:pStyle w:val="ConsPlusTitle"/>
        <w:jc w:val="center"/>
      </w:pPr>
      <w:r>
        <w:t>ПРОЕКТИРОВАНИЯ ЛЕНИНГРАДСКОЙ ОБЛАСТИ"</w:t>
      </w:r>
    </w:p>
    <w:p w:rsidR="003D0D8F" w:rsidRDefault="003D0D8F" w:rsidP="003D0D8F">
      <w:pPr>
        <w:pStyle w:val="ConsPlusNormal"/>
        <w:jc w:val="center"/>
      </w:pPr>
    </w:p>
    <w:p w:rsidR="003D0D8F" w:rsidRDefault="003D0D8F" w:rsidP="003D0D8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29.3</w:t>
        </w:r>
      </w:hyperlink>
      <w:r>
        <w:t xml:space="preserve"> Градостроительного кодекса Российской Федерации Правительство Ленинградской области постановляет: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 xml:space="preserve">1. Внести в Региональные </w:t>
      </w:r>
      <w:hyperlink r:id="rId7" w:history="1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Ленинградской области, утвержденные постановлением Правительства Ленинградской области от 22 марта 2012 года N 83, следующие изменения: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пункты 3.1.8</w:t>
        </w:r>
      </w:hyperlink>
      <w:r>
        <w:t xml:space="preserve"> и </w:t>
      </w:r>
      <w:hyperlink r:id="rId9" w:history="1">
        <w:r>
          <w:rPr>
            <w:color w:val="0000FF"/>
          </w:rPr>
          <w:t>3.1.9</w:t>
        </w:r>
      </w:hyperlink>
      <w:r>
        <w:t xml:space="preserve"> изложить в следующей редакции: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>"3.1.8. Допускается размещать жилые здания, этажность которых превышает максимальную этажность, установленную в соответствии с пунктом 3.1.7 настоящих нормативов, исключительно в составе доминанты или доминантной группы.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 xml:space="preserve">Доминантой является многоквартирный дом, состоящий из одной секции, доминантной группой является группа из двух и более зданий различной высоты (включающая в себя не менее одного высотного здания), взаимосвязанных друг с другом с помощью архитектурно-планировочных приемов (могут иметь общую подземную или нежилую </w:t>
      </w:r>
      <w:proofErr w:type="spellStart"/>
      <w:r>
        <w:t>стилобатную</w:t>
      </w:r>
      <w:proofErr w:type="spellEnd"/>
      <w:r>
        <w:t xml:space="preserve"> часть, объединяющие переходы и т.п.).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>Размещение доминанты или доминантной группы осуществляется в границах одного квартала как элемента планировочной структуры.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>Границы зоны размещения доминанты или доминантной группы в составе квартала и предельные показатели этажности указанной зоны определяются исключительно проектом планировки территории, который подлежит рассмотрению Градостроительным советом Ленинградской области.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>Доминантная часть застройки квартала не может составлять более 20% площади квартала в целом, а доля доминантной части квартала в панораме любой из сторон квартала не может быть более 20% общей ее длины.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>Этажность доминантного жилого здания не может превышать установленную в соответствии с пунктом 3.1.7 настоящих нормативов максимальную этажность жилых зданий: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>1) для городских населенных пунктов: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>зоны</w:t>
      </w:r>
      <w:proofErr w:type="gramStart"/>
      <w:r>
        <w:t xml:space="preserve"> А</w:t>
      </w:r>
      <w:proofErr w:type="gramEnd"/>
      <w:r>
        <w:t xml:space="preserve"> - на 9 этажей,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>зоны</w:t>
      </w:r>
      <w:proofErr w:type="gramStart"/>
      <w:r>
        <w:t xml:space="preserve"> Б</w:t>
      </w:r>
      <w:proofErr w:type="gramEnd"/>
      <w:r>
        <w:t xml:space="preserve"> - на 6 этажей,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>зоны</w:t>
      </w:r>
      <w:proofErr w:type="gramStart"/>
      <w:r>
        <w:t xml:space="preserve"> В</w:t>
      </w:r>
      <w:proofErr w:type="gramEnd"/>
      <w:r>
        <w:t xml:space="preserve"> - на 3 этажа;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>2) для сельских населенных пунктов: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lastRenderedPageBreak/>
        <w:t>зон</w:t>
      </w:r>
      <w:proofErr w:type="gramStart"/>
      <w:r>
        <w:t xml:space="preserve"> А</w:t>
      </w:r>
      <w:proofErr w:type="gramEnd"/>
      <w:r>
        <w:t xml:space="preserve"> и Б - на 3 этажа,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>зоны</w:t>
      </w:r>
      <w:proofErr w:type="gramStart"/>
      <w:r>
        <w:t xml:space="preserve"> В</w:t>
      </w:r>
      <w:proofErr w:type="gramEnd"/>
      <w:r>
        <w:t xml:space="preserve"> - на 4 этажа.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>Максимальная суммарная площадь земельных участков для размещения доминантных жилых зданий - не более 20% площади квартала в целом.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>Размещение доминантных жилых зданий осуществляется с учетом параметров планируемого развития функциональных зон, определенных генеральным планом поселения, городского округа. Допускается отклонение от параметров максимально допустимого коэффициента застройки и максимальной этажности застройки функциональной зоны при условии соответствия параметру плотности населения функциональной зоны и обеспеченности территории доминантной застройки объектами инженерной, социальной, рекреационной и транспортной инфраструктур, установленных в генеральном плане.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 xml:space="preserve">Строительство доминантных зданий в территориальных зонах, установленных правилами землепользования и застройки, осуществляется на основании разрешений на отклонение от предельных параметров разрешенного строительства, реконструкции объектов капитального строительства, получаемых в порядке, установленном </w:t>
      </w:r>
      <w:hyperlink r:id="rId10" w:history="1">
        <w:r>
          <w:rPr>
            <w:color w:val="0000FF"/>
          </w:rPr>
          <w:t>статьей 40</w:t>
        </w:r>
      </w:hyperlink>
      <w:r>
        <w:t xml:space="preserve"> Градостроительного кодекса Российской Федерации.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 xml:space="preserve">3.1.9. </w:t>
      </w:r>
      <w:proofErr w:type="gramStart"/>
      <w:r>
        <w:t xml:space="preserve">Предельные значения показателей этажности жилых зданий, предусмотренные пунктом 3.1.7 настоящих нормативов, а также иные показатели, предусмотренные настоящими нормативами, в соответствии с которыми были установлены предельные параметры разрешенного строительства (реконструкции) объектов капитального строительства, не применяются в отношении многоквартирных домов, включенных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</w:t>
      </w:r>
      <w:proofErr w:type="gramEnd"/>
      <w:r>
        <w:t xml:space="preserve"> объектов недвижимости и о внесении изменений в некоторые законодательные акты Российской Федерации" в единый реестр проблемных объектов.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proofErr w:type="gramStart"/>
      <w:r>
        <w:t xml:space="preserve">Параметры застройки земельных участков физических и юридических лиц, которые взяли на себя обязательства по завершении строительства многоквартирных домов, включенных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единый реестр проблемных объектов, могут определяться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одним из следующих документов: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 xml:space="preserve">1) решением о комплексном развитии территории, договором о комплексном развитии территории, заключаемым органами местного самоуправления с правообладателями земельных участков </w:t>
      </w:r>
      <w:proofErr w:type="gramStart"/>
      <w:r>
        <w:t>и(</w:t>
      </w:r>
      <w:proofErr w:type="gramEnd"/>
      <w:r>
        <w:t>или) расположенных на них объектов недвижимого имущества;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>2) документацией по планировке территории, в составе которой предусмотрено размещение объектов инженерной, социальной и транспортной инфраструктур, если данные объекты включены в адресную инвестиционную программу, либо создание указанных объектов подтверждается соглашением, из которого следуют обязательства физических или юридических лиц по созданию таких объектов;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>3) соглашением, подтверждающим обязательства физического или юридического лица по созданию объектов инженерной, социальной и транспортной инфраструктур.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>В этом случае этажность жилых зданий не может превышать установленную в соответствии с пунктом 3.1.7 настоящих нормативов максимальную этажность жилых зданий более чем на девять этажей.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разрешения на отклонение от предельных параметров разрешенного строительства (реконструкции) объектов капитального строительства в отношении </w:t>
      </w:r>
      <w:r>
        <w:lastRenderedPageBreak/>
        <w:t xml:space="preserve">многоквартирных домов, указанных в настоящем пункте, принимается в порядке, установленном </w:t>
      </w:r>
      <w:hyperlink r:id="rId13" w:history="1">
        <w:r>
          <w:rPr>
            <w:color w:val="0000FF"/>
          </w:rPr>
          <w:t>статьей 40</w:t>
        </w:r>
      </w:hyperlink>
      <w:r>
        <w:t xml:space="preserve"> Градостроительного кодекса Российской Федерации, с учетом результатов рассмотрения Градостроительным советом Ленинградской области материалов градостроительного обоснования размещения таких многоквартирных домов, содержащих графические и текстовые материалы, определяющие параметры застройки, технико-экономические показатели, зоны размещения объектов на</w:t>
      </w:r>
      <w:proofErr w:type="gramEnd"/>
      <w:r>
        <w:t xml:space="preserve"> земельных </w:t>
      </w:r>
      <w:proofErr w:type="gramStart"/>
      <w:r>
        <w:t>участках</w:t>
      </w:r>
      <w:proofErr w:type="gramEnd"/>
      <w:r>
        <w:t>, а также пространственные решения.".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градостроительной политики Ленинградской области.</w:t>
      </w:r>
    </w:p>
    <w:p w:rsidR="003D0D8F" w:rsidRDefault="003D0D8F" w:rsidP="003D0D8F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3D0D8F" w:rsidRDefault="003D0D8F" w:rsidP="003D0D8F">
      <w:pPr>
        <w:pStyle w:val="ConsPlusNormal"/>
        <w:ind w:firstLine="540"/>
        <w:jc w:val="both"/>
      </w:pPr>
    </w:p>
    <w:p w:rsidR="003D0D8F" w:rsidRDefault="003D0D8F" w:rsidP="003D0D8F">
      <w:pPr>
        <w:pStyle w:val="ConsPlusNormal"/>
        <w:jc w:val="right"/>
      </w:pPr>
      <w:r>
        <w:t>Губернатор</w:t>
      </w:r>
    </w:p>
    <w:p w:rsidR="003D0D8F" w:rsidRDefault="003D0D8F" w:rsidP="003D0D8F">
      <w:pPr>
        <w:pStyle w:val="ConsPlusNormal"/>
        <w:jc w:val="right"/>
      </w:pPr>
      <w:r>
        <w:t>Ленинградской области</w:t>
      </w:r>
    </w:p>
    <w:p w:rsidR="003D0D8F" w:rsidRDefault="003D0D8F" w:rsidP="003D0D8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3D0D8F" w:rsidRDefault="003D0D8F" w:rsidP="003D0D8F">
      <w:pPr>
        <w:pStyle w:val="ConsPlusNormal"/>
        <w:ind w:firstLine="540"/>
        <w:jc w:val="both"/>
      </w:pPr>
    </w:p>
    <w:p w:rsidR="003D0D8F" w:rsidRDefault="003D0D8F" w:rsidP="003D0D8F">
      <w:pPr>
        <w:pStyle w:val="ConsPlusNormal"/>
        <w:ind w:firstLine="540"/>
        <w:jc w:val="both"/>
      </w:pPr>
    </w:p>
    <w:p w:rsidR="003D0D8F" w:rsidRDefault="003D0D8F" w:rsidP="003D0D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D8F" w:rsidRDefault="003D0D8F" w:rsidP="003D0D8F"/>
    <w:p w:rsidR="00D41D59" w:rsidRDefault="00D41D59">
      <w:bookmarkStart w:id="0" w:name="_GoBack"/>
      <w:bookmarkEnd w:id="0"/>
    </w:p>
    <w:sectPr w:rsidR="00D41D59" w:rsidSect="00AA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79"/>
    <w:rsid w:val="003D0D8F"/>
    <w:rsid w:val="00D41D59"/>
    <w:rsid w:val="00F3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D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D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76779B359284FF9AA9B095036FEFE610FAF8D04F4A49E3BF5964BC1C2B43CD17EC5E3EB17D8CC72F3172098CD8363A56FB6F719CAAF15W0K9K" TargetMode="External"/><Relationship Id="rId13" Type="http://schemas.openxmlformats.org/officeDocument/2006/relationships/hyperlink" Target="consultantplus://offline/ref=3C576779B359284FF9AA84184536FEFE6002A98C09F2A49E3BF5964BC1C2B43CD17EC5E3EA1FD8C97EF3172098CD8363A56FB6F719CAAF15W0K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576779B359284FF9AA9B095036FEFE610FAF8D04F4A49E3BF5964BC1C2B43CD17EC5E3EB1CDDCA71F3172098CD8363A56FB6F719CAAF15W0K9K" TargetMode="External"/><Relationship Id="rId12" Type="http://schemas.openxmlformats.org/officeDocument/2006/relationships/hyperlink" Target="consultantplus://offline/ref=3C576779B359284FF9AA84184536FEFE6003A0840AFDA49E3BF5964BC1C2B43CC37E9DEFE81FC0CA74E64171DEW9K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576779B359284FF9AA84184536FEFE6002A98C09F2A49E3BF5964BC1C2B43CD17EC5E3EA1ED6CF74F3172098CD8363A56FB6F719CAAF15W0K9K" TargetMode="External"/><Relationship Id="rId11" Type="http://schemas.openxmlformats.org/officeDocument/2006/relationships/hyperlink" Target="consultantplus://offline/ref=3C576779B359284FF9AA84184536FEFE6003A0840AFDA49E3BF5964BC1C2B43CC37E9DEFE81FC0CA74E64171DEW9K9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576779B359284FF9AA84184536FEFE6002A98C09F2A49E3BF5964BC1C2B43CD17EC5E3EA1FD8C97EF3172098CD8363A56FB6F719CAAF15W0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76779B359284FF9AA9B095036FEFE610FAF8D04F4A49E3BF5964BC1C2B43CD17EC5E3EB17D9CA7EF3172098CD8363A56FB6F719CAAF15W0K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Валентинович Хлупин</dc:creator>
  <cp:keywords/>
  <dc:description/>
  <cp:lastModifiedBy>Станислав Валентинович Хлупин</cp:lastModifiedBy>
  <cp:revision>2</cp:revision>
  <dcterms:created xsi:type="dcterms:W3CDTF">2021-12-20T10:11:00Z</dcterms:created>
  <dcterms:modified xsi:type="dcterms:W3CDTF">2021-12-20T10:11:00Z</dcterms:modified>
</cp:coreProperties>
</file>