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33" w:rsidRDefault="00E86A33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E86A33" w:rsidRDefault="00E86A33">
      <w:pPr>
        <w:pStyle w:val="ConsPlusTitle"/>
      </w:pPr>
    </w:p>
    <w:p w:rsidR="00E86A33" w:rsidRDefault="00E86A33">
      <w:pPr>
        <w:pStyle w:val="ConsPlusTitle"/>
        <w:jc w:val="center"/>
      </w:pPr>
      <w:r>
        <w:t>ПОСТАНОВЛЕНИЕ</w:t>
      </w:r>
    </w:p>
    <w:p w:rsidR="00E86A33" w:rsidRDefault="00E86A33">
      <w:pPr>
        <w:pStyle w:val="ConsPlusTitle"/>
        <w:jc w:val="center"/>
      </w:pPr>
      <w:r>
        <w:t>от 22 июня 2020 г. N 430</w:t>
      </w:r>
    </w:p>
    <w:p w:rsidR="00E86A33" w:rsidRDefault="00E86A33">
      <w:pPr>
        <w:pStyle w:val="ConsPlusTitle"/>
      </w:pPr>
    </w:p>
    <w:p w:rsidR="00E86A33" w:rsidRDefault="00E86A33">
      <w:pPr>
        <w:pStyle w:val="ConsPlusTitle"/>
        <w:jc w:val="center"/>
      </w:pPr>
      <w:r>
        <w:t>О ВНЕСЕНИИ ИЗМЕНЕНИЙ В ПОСТАНОВЛЕНИЕ ПРАВИТЕЛЬСТВА</w:t>
      </w:r>
    </w:p>
    <w:p w:rsidR="00E86A33" w:rsidRDefault="00E86A33">
      <w:pPr>
        <w:pStyle w:val="ConsPlusTitle"/>
        <w:jc w:val="center"/>
      </w:pPr>
      <w:r>
        <w:t>ЛЕНИНГРАДСКОЙ ОБЛАСТИ ОТ 22 МАРТА 2012 ГОДА N 83</w:t>
      </w:r>
    </w:p>
    <w:p w:rsidR="00E86A33" w:rsidRDefault="00E86A33">
      <w:pPr>
        <w:pStyle w:val="ConsPlusTitle"/>
        <w:jc w:val="center"/>
      </w:pPr>
      <w:r>
        <w:t>"ОБ УТВЕРЖДЕНИИ РЕГИОНАЛЬНЫХ НОРМАТИВОВ ГРАДОСТРОИТЕЛЬНОГО</w:t>
      </w:r>
    </w:p>
    <w:p w:rsidR="00E86A33" w:rsidRDefault="00E86A33">
      <w:pPr>
        <w:pStyle w:val="ConsPlusTitle"/>
        <w:jc w:val="center"/>
      </w:pPr>
      <w:r>
        <w:t>ПРОЕКТИРОВАНИЯ ЛЕНИНГРАДСКОЙ ОБЛАСТИ"</w:t>
      </w:r>
    </w:p>
    <w:p w:rsidR="00E86A33" w:rsidRDefault="00E86A33">
      <w:pPr>
        <w:pStyle w:val="ConsPlusNormal"/>
      </w:pPr>
    </w:p>
    <w:p w:rsidR="00E86A33" w:rsidRDefault="00E86A3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29.3</w:t>
        </w:r>
      </w:hyperlink>
      <w:r>
        <w:t xml:space="preserve"> Градостроительного кодекса Российской Федерации Правительство Ленинградской области постановляет:</w:t>
      </w:r>
    </w:p>
    <w:p w:rsidR="00E86A33" w:rsidRDefault="00E86A33">
      <w:pPr>
        <w:pStyle w:val="ConsPlusNormal"/>
      </w:pPr>
    </w:p>
    <w:p w:rsidR="00E86A33" w:rsidRDefault="00E86A33">
      <w:pPr>
        <w:pStyle w:val="ConsPlusNormal"/>
        <w:ind w:firstLine="540"/>
        <w:jc w:val="both"/>
      </w:pPr>
      <w:r>
        <w:t xml:space="preserve">1. Внести в Региональные </w:t>
      </w:r>
      <w:hyperlink r:id="rId6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Ленинградской области, утвержденные постановлением Правительства Ленинградской области от 22 марта 2012 года N 83,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комитета градостроительной политики Ленинградской области.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E86A33" w:rsidRDefault="00E86A33">
      <w:pPr>
        <w:pStyle w:val="ConsPlusNormal"/>
      </w:pPr>
    </w:p>
    <w:p w:rsidR="00E86A33" w:rsidRDefault="00E86A33">
      <w:pPr>
        <w:pStyle w:val="ConsPlusNormal"/>
        <w:jc w:val="right"/>
      </w:pPr>
      <w:r>
        <w:t>Губернатор</w:t>
      </w:r>
    </w:p>
    <w:p w:rsidR="00E86A33" w:rsidRDefault="00E86A33">
      <w:pPr>
        <w:pStyle w:val="ConsPlusNormal"/>
        <w:jc w:val="right"/>
      </w:pPr>
      <w:r>
        <w:t>Ленинградской области</w:t>
      </w:r>
    </w:p>
    <w:p w:rsidR="00E86A33" w:rsidRDefault="00E86A33">
      <w:pPr>
        <w:pStyle w:val="ConsPlusNormal"/>
        <w:jc w:val="right"/>
      </w:pPr>
      <w:r>
        <w:t>А.Дрозденко</w:t>
      </w:r>
    </w:p>
    <w:p w:rsidR="00E86A33" w:rsidRDefault="00E86A33">
      <w:pPr>
        <w:pStyle w:val="ConsPlusNormal"/>
      </w:pPr>
    </w:p>
    <w:p w:rsidR="00E86A33" w:rsidRDefault="00E86A33">
      <w:pPr>
        <w:pStyle w:val="ConsPlusNormal"/>
      </w:pPr>
    </w:p>
    <w:p w:rsidR="00E86A33" w:rsidRDefault="00E86A33">
      <w:pPr>
        <w:pStyle w:val="ConsPlusNormal"/>
      </w:pPr>
    </w:p>
    <w:p w:rsidR="00E86A33" w:rsidRDefault="00E86A33">
      <w:pPr>
        <w:pStyle w:val="ConsPlusNormal"/>
      </w:pPr>
    </w:p>
    <w:p w:rsidR="00E86A33" w:rsidRDefault="00E86A33">
      <w:pPr>
        <w:pStyle w:val="ConsPlusNormal"/>
      </w:pPr>
    </w:p>
    <w:p w:rsidR="00E86A33" w:rsidRDefault="00E86A33">
      <w:pPr>
        <w:pStyle w:val="ConsPlusNormal"/>
        <w:jc w:val="right"/>
        <w:outlineLvl w:val="0"/>
      </w:pPr>
      <w:r>
        <w:t>ПРИЛОЖЕНИЕ</w:t>
      </w:r>
    </w:p>
    <w:p w:rsidR="00E86A33" w:rsidRDefault="00E86A33">
      <w:pPr>
        <w:pStyle w:val="ConsPlusNormal"/>
        <w:jc w:val="right"/>
      </w:pPr>
      <w:r>
        <w:t>к постановлению Правительства</w:t>
      </w:r>
    </w:p>
    <w:p w:rsidR="00E86A33" w:rsidRDefault="00E86A33">
      <w:pPr>
        <w:pStyle w:val="ConsPlusNormal"/>
        <w:jc w:val="right"/>
      </w:pPr>
      <w:r>
        <w:t>Ленинградской области</w:t>
      </w:r>
    </w:p>
    <w:p w:rsidR="00E86A33" w:rsidRDefault="00E86A33">
      <w:pPr>
        <w:pStyle w:val="ConsPlusNormal"/>
        <w:jc w:val="right"/>
      </w:pPr>
      <w:r>
        <w:t>от 22.06.2020 N 430</w:t>
      </w:r>
    </w:p>
    <w:p w:rsidR="00E86A33" w:rsidRDefault="00E86A33">
      <w:pPr>
        <w:pStyle w:val="ConsPlusNormal"/>
      </w:pPr>
    </w:p>
    <w:p w:rsidR="00E86A33" w:rsidRDefault="00E86A33">
      <w:pPr>
        <w:pStyle w:val="ConsPlusTitle"/>
        <w:jc w:val="center"/>
      </w:pPr>
      <w:bookmarkStart w:id="1" w:name="P30"/>
      <w:bookmarkEnd w:id="1"/>
      <w:r>
        <w:t>ИЗМЕНЕНИЯ,</w:t>
      </w:r>
    </w:p>
    <w:p w:rsidR="00E86A33" w:rsidRDefault="00E86A33">
      <w:pPr>
        <w:pStyle w:val="ConsPlusTitle"/>
        <w:jc w:val="center"/>
      </w:pPr>
      <w:r>
        <w:t>КОТОРЫЕ ВНОСЯТСЯ В РЕГИОНАЛЬНЫЕ НОРМАТИВЫ ГРАДОСТРОИТЕЛЬНОГО</w:t>
      </w:r>
    </w:p>
    <w:p w:rsidR="00E86A33" w:rsidRDefault="00E86A33">
      <w:pPr>
        <w:pStyle w:val="ConsPlusTitle"/>
        <w:jc w:val="center"/>
      </w:pPr>
      <w:r>
        <w:t>ПРОЕКТИРОВАНИЯ ЛЕНИНГРАДСКОЙ ОБЛАСТИ, УТВЕРЖДЕННЫЕ</w:t>
      </w:r>
    </w:p>
    <w:p w:rsidR="00E86A33" w:rsidRDefault="00E86A33">
      <w:pPr>
        <w:pStyle w:val="ConsPlusTitle"/>
        <w:jc w:val="center"/>
      </w:pPr>
      <w:r>
        <w:t>ПОСТАНОВЛЕНИЕМ ПРАВИТЕЛЬСТВА ЛЕНИНГРАДСКОЙ ОБЛАСТИ</w:t>
      </w:r>
    </w:p>
    <w:p w:rsidR="00E86A33" w:rsidRDefault="00E86A33">
      <w:pPr>
        <w:pStyle w:val="ConsPlusTitle"/>
        <w:jc w:val="center"/>
      </w:pPr>
      <w:r>
        <w:t>ОТ 22 МАРТА 2012 ГОДА N 83</w:t>
      </w:r>
    </w:p>
    <w:p w:rsidR="00E86A33" w:rsidRDefault="00E86A33">
      <w:pPr>
        <w:pStyle w:val="ConsPlusNormal"/>
      </w:pPr>
    </w:p>
    <w:p w:rsidR="00E86A33" w:rsidRDefault="00E86A33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3.1.7</w:t>
        </w:r>
      </w:hyperlink>
      <w:r>
        <w:t xml:space="preserve"> изложить в следующей редакции: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"3.1.7. Предельные значения показателей этажности жилых зданий</w:t>
      </w:r>
    </w:p>
    <w:p w:rsidR="00E86A33" w:rsidRDefault="00E86A3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98"/>
        <w:gridCol w:w="2098"/>
      </w:tblGrid>
      <w:tr w:rsidR="00E86A33">
        <w:tc>
          <w:tcPr>
            <w:tcW w:w="2551" w:type="dxa"/>
            <w:vMerge w:val="restart"/>
          </w:tcPr>
          <w:p w:rsidR="00E86A33" w:rsidRDefault="00E86A33">
            <w:pPr>
              <w:pStyle w:val="ConsPlusNormal"/>
              <w:jc w:val="center"/>
            </w:pPr>
            <w:r>
              <w:t>Категории населенных пунктов</w:t>
            </w:r>
          </w:p>
        </w:tc>
        <w:tc>
          <w:tcPr>
            <w:tcW w:w="4196" w:type="dxa"/>
            <w:gridSpan w:val="2"/>
          </w:tcPr>
          <w:p w:rsidR="00E86A33" w:rsidRDefault="00E86A33">
            <w:pPr>
              <w:pStyle w:val="ConsPlusNormal"/>
              <w:jc w:val="center"/>
            </w:pPr>
            <w:r>
              <w:t>Этажность застройки, этажей</w:t>
            </w:r>
          </w:p>
        </w:tc>
      </w:tr>
      <w:tr w:rsidR="00E86A33">
        <w:tc>
          <w:tcPr>
            <w:tcW w:w="2551" w:type="dxa"/>
            <w:vMerge/>
          </w:tcPr>
          <w:p w:rsidR="00E86A33" w:rsidRDefault="00E86A33"/>
        </w:tc>
        <w:tc>
          <w:tcPr>
            <w:tcW w:w="2098" w:type="dxa"/>
          </w:tcPr>
          <w:p w:rsidR="00E86A33" w:rsidRDefault="00E86A33">
            <w:pPr>
              <w:pStyle w:val="ConsPlusNormal"/>
              <w:jc w:val="center"/>
            </w:pPr>
            <w:r>
              <w:t>зона А, зона Б</w:t>
            </w:r>
          </w:p>
        </w:tc>
        <w:tc>
          <w:tcPr>
            <w:tcW w:w="2098" w:type="dxa"/>
          </w:tcPr>
          <w:p w:rsidR="00E86A33" w:rsidRDefault="00E86A33">
            <w:pPr>
              <w:pStyle w:val="ConsPlusNormal"/>
              <w:jc w:val="center"/>
            </w:pPr>
            <w:r>
              <w:t>зона В</w:t>
            </w:r>
          </w:p>
        </w:tc>
      </w:tr>
      <w:tr w:rsidR="00E86A33">
        <w:tc>
          <w:tcPr>
            <w:tcW w:w="2551" w:type="dxa"/>
          </w:tcPr>
          <w:p w:rsidR="00E86A33" w:rsidRDefault="00E86A33">
            <w:pPr>
              <w:pStyle w:val="ConsPlusNormal"/>
            </w:pPr>
            <w:r>
              <w:t>Городские</w:t>
            </w:r>
          </w:p>
        </w:tc>
        <w:tc>
          <w:tcPr>
            <w:tcW w:w="2098" w:type="dxa"/>
          </w:tcPr>
          <w:p w:rsidR="00E86A33" w:rsidRDefault="00E86A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E86A33" w:rsidRDefault="00E86A33">
            <w:pPr>
              <w:pStyle w:val="ConsPlusNormal"/>
              <w:jc w:val="center"/>
            </w:pPr>
            <w:r>
              <w:t>9</w:t>
            </w:r>
          </w:p>
        </w:tc>
      </w:tr>
      <w:tr w:rsidR="00E86A33">
        <w:tc>
          <w:tcPr>
            <w:tcW w:w="2551" w:type="dxa"/>
          </w:tcPr>
          <w:p w:rsidR="00E86A33" w:rsidRDefault="00E86A33">
            <w:pPr>
              <w:pStyle w:val="ConsPlusNormal"/>
            </w:pPr>
            <w:r>
              <w:lastRenderedPageBreak/>
              <w:t>Сельские</w:t>
            </w:r>
          </w:p>
        </w:tc>
        <w:tc>
          <w:tcPr>
            <w:tcW w:w="2098" w:type="dxa"/>
          </w:tcPr>
          <w:p w:rsidR="00E86A33" w:rsidRDefault="00E86A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E86A33" w:rsidRDefault="00E86A33">
            <w:pPr>
              <w:pStyle w:val="ConsPlusNormal"/>
              <w:jc w:val="center"/>
            </w:pPr>
            <w:r>
              <w:t>5</w:t>
            </w:r>
          </w:p>
        </w:tc>
      </w:tr>
    </w:tbl>
    <w:p w:rsidR="00E86A33" w:rsidRDefault="00E86A33">
      <w:pPr>
        <w:pStyle w:val="ConsPlusNormal"/>
      </w:pPr>
    </w:p>
    <w:p w:rsidR="00E86A33" w:rsidRDefault="00E86A33">
      <w:pPr>
        <w:pStyle w:val="ConsPlusNormal"/>
        <w:ind w:firstLine="540"/>
        <w:jc w:val="both"/>
      </w:pPr>
      <w:r>
        <w:t>Примечание: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Подполье под зданием независимо от его высоты, а также междуэтажное пространство и технический чердак с высотой менее 1,8 м в число надземных этажей не включаются.".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3.1.8 следующего содержания: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"3.1.8. Размещение жилых зданий, этажность которых превышает максимальную этажность, установленную в соответствии с пунктом 3.1.7 настоящих нормативов, осуществляется в границах зоны размещения доминантной застройки в составе квартала как элемента планировочной структуры.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Границы зоны размещения доминантной застройки в составе квартала и предельные показатели этажности указанной зоны определяются исключительно проектом планировки территории, который подлежит рассмотрению Градостроительным советом Ленинградской области.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Доминантная часть застройки квартала не может составлять более 20% площади квартала в целом, а доля доминантной части квартала в панораме любой из сторон квартала не может быть более 20% общей ее длины.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Этажность доминантного жилого здания не может превышать установленную в соответствии с пунктом 3.1.7 настоящих нормативов максимальную этажность жилых зданий: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1) для городских населенных пунктов: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зоны А - на 9 этажей,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зоны Б - на 6 этажей,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зоны В - на 3 этажа;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2) для сельских населенных пунктов: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зон А и Б - на 3 этажа,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зоны В - на 4 этажа.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Максимальная суммарная площадь земельных участков для размещения доминантных жилых зданий - не более 20% площади квартала в целом.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Строительство доминантных жилых зданий в территориальных зонах, установленных правилами землепользования и застройки, осуществляется на основании разрешений на отклонение от предельных параметров разрешенного строительства, реконструкции объектов капитального строительства, получаемых в порядке, установленном </w:t>
      </w:r>
      <w:hyperlink r:id="rId9" w:history="1">
        <w:r>
          <w:rPr>
            <w:color w:val="0000FF"/>
          </w:rPr>
          <w:t>статьей 40</w:t>
        </w:r>
      </w:hyperlink>
      <w:r>
        <w:t xml:space="preserve"> Градостроительного кодекса Российской Федерации.".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3.2</w:t>
        </w:r>
      </w:hyperlink>
      <w:r>
        <w:t xml:space="preserve"> "Объекты социальной инфраструктуры":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lastRenderedPageBreak/>
        <w:t>1) в таблице в столбце "Максимально допустимый уровень территориальной доступности" графы "Общеобразовательные организации" в строке "Сельские населенные пункты с численностью населения свыше 12000 человек на срок, установленный генеральным планом поселения, городского округа; сельские населенные пункты, расположенные в зоне А, городские населенные пункты" абзацы "</w:t>
      </w:r>
      <w:hyperlink r:id="rId11" w:history="1">
        <w:r>
          <w:rPr>
            <w:color w:val="0000FF"/>
          </w:rPr>
          <w:t>общеобразовательные организации</w:t>
        </w:r>
      </w:hyperlink>
      <w:r>
        <w:t xml:space="preserve"> I и II ступеней обучения - 400 м; </w:t>
      </w:r>
      <w:hyperlink r:id="rId12" w:history="1">
        <w:r>
          <w:rPr>
            <w:color w:val="0000FF"/>
          </w:rPr>
          <w:t>общеобразовательные организации</w:t>
        </w:r>
      </w:hyperlink>
      <w:r>
        <w:t xml:space="preserve"> III ступени обучения - 500 м" заменить абзацем "общеобразовательные организации I, II и III ступеней обучения - 500 м";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4" w:history="1">
        <w:r>
          <w:rPr>
            <w:color w:val="0000FF"/>
          </w:rPr>
          <w:t>третий</w:t>
        </w:r>
      </w:hyperlink>
      <w:r>
        <w:t xml:space="preserve"> после таблицы изложить в следующей редакции: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"до 100 мест - 44 кв. м на 1 место,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свыше 100 мест - 38 кв. м на 1 место, в комплексе дошкольных образовательных организаций свыше 500 мест - 30 кв. м на 1 место.";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16" w:history="1">
        <w:r>
          <w:rPr>
            <w:color w:val="0000FF"/>
          </w:rPr>
          <w:t>одиннадцатый</w:t>
        </w:r>
      </w:hyperlink>
      <w:r>
        <w:t xml:space="preserve"> после таблицы изложить в следующей редакции: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"до 400 мест - 55 кв. м на 1 место,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свыше 400 до 500 мест - 65 кв. м на 1 место,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свыше 500 до 600 мест - 55 кв. м на 1 место,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свыше 600 до 800 мест - 45 кв. м на 1 место,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свыше 800 до 1100 мест - 36 кв. м на 1 место,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свыше 1100 до 1500 мест - 23 кв. м на 1 место, свыше 1500 до 2000 мест - 18 кв. м на 1 место, свыше 2000 мест - 16 кв. м на 1 место.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Размеры земельных участков могут быть уменьшены в соответствии с </w:t>
      </w:r>
      <w:hyperlink r:id="rId17" w:history="1">
        <w:r>
          <w:rPr>
            <w:color w:val="0000FF"/>
          </w:rPr>
          <w:t>таблицей Д.1</w:t>
        </w:r>
      </w:hyperlink>
      <w:r>
        <w:t xml:space="preserve"> приложения Д СП 42.13330.2016. Свод правил. Градостроительство. Планировка и застройка городских и сельских поселений. Актуализированная редакция СНиП 2.07.01-89*.".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4. </w:t>
      </w:r>
      <w:hyperlink r:id="rId18" w:history="1">
        <w:r>
          <w:rPr>
            <w:color w:val="0000FF"/>
          </w:rPr>
          <w:t>Пункт 3.3</w:t>
        </w:r>
      </w:hyperlink>
      <w:r>
        <w:t xml:space="preserve"> "Создание условий для развития транспортной инфраструктуры" изложить в следующей редакции: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"3.3. Обеспеченность объектами транспортной инфраструктуры определяется исходя из минимального предельного значения расчетного показателя уровня автомобилизации населения на 1000 человек постоянного и временного (сезонного) населения в населенных пунктах муниципальных образований Ленинградской области и составляет для населенных пунктов, расположенных в зонах в соответствии с пунктом 15 настоящих нормативов: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1) зона А - 375 индивидуальных легковых автомобилей;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2) зона Б - 350 индивидуальных легковых автомобилей;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3) зона В - 330 индивидуальных легковых автомобилей.".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5. В </w:t>
      </w:r>
      <w:hyperlink r:id="rId19" w:history="1">
        <w:r>
          <w:rPr>
            <w:color w:val="0000FF"/>
          </w:rPr>
          <w:t>приложении 1</w:t>
        </w:r>
      </w:hyperlink>
      <w:r>
        <w:t xml:space="preserve"> "Термины и определения":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"стоянка автомобилей гостевая - стоянка автомобилей, предназначенная для временного (не более 12 ч.) хранения (паркования) на стоянках автомобилей на не </w:t>
      </w:r>
      <w:r>
        <w:lastRenderedPageBreak/>
        <w:t>закрепленных за конкретными владельцами машино-местах;";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абзац тридцать шестой</w:t>
        </w:r>
      </w:hyperlink>
      <w:r>
        <w:t xml:space="preserve"> изложить в следующей редакции:</w:t>
      </w:r>
    </w:p>
    <w:p w:rsidR="00E86A33" w:rsidRDefault="00E86A33">
      <w:pPr>
        <w:pStyle w:val="ConsPlusNormal"/>
        <w:spacing w:before="220"/>
        <w:ind w:firstLine="540"/>
        <w:jc w:val="both"/>
      </w:pPr>
      <w:r>
        <w:t>"коэффициент плотности застройки (Кпз) - отношение площади всех этажей зданий и сооружений к площади участка. При подсчете Кпз учитываются только надземные этажи, включая мансардные, подземные этажи зданий и сооружений не учитываются, подземное сооружение не учитывается, если поверхность земли (надземная территория) над ним используется под озеленение, организацию площадок, стоянок автомобилей и другие виды благоустройства;".</w:t>
      </w:r>
    </w:p>
    <w:p w:rsidR="00E86A33" w:rsidRDefault="00E86A33">
      <w:pPr>
        <w:pStyle w:val="ConsPlusNormal"/>
      </w:pPr>
    </w:p>
    <w:p w:rsidR="00E86A33" w:rsidRDefault="00E86A33">
      <w:pPr>
        <w:pStyle w:val="ConsPlusNormal"/>
      </w:pPr>
    </w:p>
    <w:p w:rsidR="00E86A33" w:rsidRDefault="00E86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654" w:rsidRDefault="00DE2654"/>
    <w:sectPr w:rsidR="00DE2654" w:rsidSect="00511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33"/>
    <w:rsid w:val="00DE2654"/>
    <w:rsid w:val="00E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5D55D31A480183E9FD0364D6BBC28BF950483E36F811732493711FAE8F4E060F7A3DF385855E4FC6AEAE8B82BDD0608A17302B716F55Au1m6O" TargetMode="External"/><Relationship Id="rId13" Type="http://schemas.openxmlformats.org/officeDocument/2006/relationships/hyperlink" Target="consultantplus://offline/ref=E725D55D31A480183E9FD0364D6BBC28BF950483E36F811732493711FAE8F4E060F7A3DF385F56E2FA6AEAE8B82BDD0608A17302B716F55Au1m6O" TargetMode="External"/><Relationship Id="rId18" Type="http://schemas.openxmlformats.org/officeDocument/2006/relationships/hyperlink" Target="consultantplus://offline/ref=E725D55D31A480183E9FD0364D6BBC28BF950483E36F811732493711FAE8F4E060F7A3DF385F56EDF96AEAE8B82BDD0608A17302B716F55Au1m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25D55D31A480183E9FD0364D6BBC28BF950483E36F811732493711FAE8F4E060F7A3DF385F5EE0F36AEAE8B82BDD0608A17302B716F55Au1m6O" TargetMode="External"/><Relationship Id="rId7" Type="http://schemas.openxmlformats.org/officeDocument/2006/relationships/hyperlink" Target="consultantplus://offline/ref=E725D55D31A480183E9FD0364D6BBC28BF950483E36F811732493711FAE8F4E060F7A3DF385F56E7F36AEAE8B82BDD0608A17302B716F55Au1m6O" TargetMode="External"/><Relationship Id="rId12" Type="http://schemas.openxmlformats.org/officeDocument/2006/relationships/hyperlink" Target="consultantplus://offline/ref=E725D55D31A480183E9FD0364D6BBC28BF950483E36F811732493711FAE8F4E060F7A3DF385350E3FB6AEAE8B82BDD0608A17302B716F55Au1m6O" TargetMode="External"/><Relationship Id="rId17" Type="http://schemas.openxmlformats.org/officeDocument/2006/relationships/hyperlink" Target="consultantplus://offline/ref=E725D55D31A480183E9FD0325D6BBC28BF900885E965DC1D3A103B13FDE7ABF767BEAFDE385254E0F035EFFDA973D00F1FBF741BAB14F7u5m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25D55D31A480183E9FD0364D6BBC28BF950483E36F811732493711FAE8F4E060F7A3DF385F56EDFB6AEAE8B82BDD0608A17302B716F55Au1m6O" TargetMode="External"/><Relationship Id="rId20" Type="http://schemas.openxmlformats.org/officeDocument/2006/relationships/hyperlink" Target="consultantplus://offline/ref=E725D55D31A480183E9FD0364D6BBC28BF950483E36F811732493711FAE8F4E060F7A3DF385F5EE7FD6AEAE8B82BDD0608A17302B716F55Au1m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5D55D31A480183E9FD0364D6BBC28BF950483E36F811732493711FAE8F4E060F7A3DF385855E4FC6AEAE8B82BDD0608A17302B716F55Au1m6O" TargetMode="External"/><Relationship Id="rId11" Type="http://schemas.openxmlformats.org/officeDocument/2006/relationships/hyperlink" Target="consultantplus://offline/ref=E725D55D31A480183E9FD0364D6BBC28BF950483E36F811732493711FAE8F4E060F7A3DF385F56E3FF6AEAE8B82BDD0608A17302B716F55Au1m6O" TargetMode="External"/><Relationship Id="rId5" Type="http://schemas.openxmlformats.org/officeDocument/2006/relationships/hyperlink" Target="consultantplus://offline/ref=E725D55D31A480183E9FCF27586BBC28BE910084E767811732493711FAE8F4E060F7A3DF395A5EE1F96AEAE8B82BDD0608A17302B716F55Au1m6O" TargetMode="External"/><Relationship Id="rId15" Type="http://schemas.openxmlformats.org/officeDocument/2006/relationships/hyperlink" Target="consultantplus://offline/ref=E725D55D31A480183E9FD0364D6BBC28BF950483E36F811732493711FAE8F4E060F7A3DF385F56E2FF6AEAE8B82BDD0608A17302B716F55Au1m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725D55D31A480183E9FD0364D6BBC28BF950483E36F811732493711FAE8F4E060F7A3DF385F56E0FB6AEAE8B82BDD0608A17302B716F55Au1m6O" TargetMode="External"/><Relationship Id="rId19" Type="http://schemas.openxmlformats.org/officeDocument/2006/relationships/hyperlink" Target="consultantplus://offline/ref=E725D55D31A480183E9FD0364D6BBC28BF950483E36F811732493711FAE8F4E060F7A3DF385F5EE7F96AEAE8B82BDD0608A17302B716F55Au1m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25D55D31A480183E9FCF27586BBC28BE910084E767811732493711FAE8F4E060F7A3DF395B50E7F36AEAE8B82BDD0608A17302B716F55Au1m6O" TargetMode="External"/><Relationship Id="rId14" Type="http://schemas.openxmlformats.org/officeDocument/2006/relationships/hyperlink" Target="consultantplus://offline/ref=E725D55D31A480183E9FD0364D6BBC28BF950483E36F811732493711FAE8F4E060F7A3DF385F56E2F96AEAE8B82BDD0608A17302B716F55Au1m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2020-07-09T14:38:00Z</dcterms:created>
  <dcterms:modified xsi:type="dcterms:W3CDTF">2020-07-09T14:39:00Z</dcterms:modified>
</cp:coreProperties>
</file>