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684" w:rsidRPr="00383684" w:rsidRDefault="00060189" w:rsidP="00383684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муниципального образования  </w:t>
      </w:r>
      <w:proofErr w:type="spellStart"/>
      <w:r w:rsidR="00383684" w:rsidRPr="00383684">
        <w:rPr>
          <w:b/>
          <w:sz w:val="28"/>
          <w:szCs w:val="28"/>
        </w:rPr>
        <w:t>Кузнечнинское</w:t>
      </w:r>
      <w:proofErr w:type="spellEnd"/>
      <w:r w:rsidR="00383684" w:rsidRPr="00383684">
        <w:rPr>
          <w:b/>
          <w:sz w:val="28"/>
          <w:szCs w:val="28"/>
        </w:rPr>
        <w:t xml:space="preserve"> городское поселение</w:t>
      </w:r>
    </w:p>
    <w:p w:rsidR="00060189" w:rsidRDefault="00383684" w:rsidP="00383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36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83684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38368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60189" w:rsidRPr="00231270" w:rsidRDefault="00060189" w:rsidP="00231270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231270" w:rsidRDefault="00FB4C49" w:rsidP="00060189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270">
        <w:rPr>
          <w:rFonts w:ascii="Times New Roman" w:eastAsia="Calibri" w:hAnsi="Times New Roman" w:cs="Times New Roman"/>
          <w:sz w:val="28"/>
          <w:szCs w:val="28"/>
        </w:rPr>
        <w:t xml:space="preserve">Уточнить </w:t>
      </w:r>
      <w:r w:rsidR="00326EE8" w:rsidRPr="00231270">
        <w:rPr>
          <w:rFonts w:ascii="Times New Roman" w:eastAsia="Calibri" w:hAnsi="Times New Roman" w:cs="Times New Roman"/>
          <w:sz w:val="28"/>
          <w:szCs w:val="28"/>
        </w:rPr>
        <w:t>П</w:t>
      </w:r>
      <w:r w:rsidR="00060189" w:rsidRPr="00231270">
        <w:rPr>
          <w:rFonts w:ascii="Times New Roman" w:eastAsia="Calibri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383684" w:rsidRPr="00231270">
        <w:rPr>
          <w:rFonts w:ascii="Times New Roman" w:eastAsia="Calibri" w:hAnsi="Times New Roman" w:cs="Times New Roman"/>
          <w:sz w:val="28"/>
          <w:szCs w:val="28"/>
        </w:rPr>
        <w:t>Кузнечнинское</w:t>
      </w:r>
      <w:proofErr w:type="spellEnd"/>
      <w:r w:rsidR="00383684" w:rsidRPr="00231270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="00383684" w:rsidRPr="00231270">
        <w:rPr>
          <w:rFonts w:ascii="Times New Roman" w:eastAsia="Calibri" w:hAnsi="Times New Roman" w:cs="Times New Roman"/>
          <w:sz w:val="28"/>
          <w:szCs w:val="28"/>
        </w:rPr>
        <w:t>Приозерский</w:t>
      </w:r>
      <w:proofErr w:type="spellEnd"/>
      <w:r w:rsidR="00383684" w:rsidRPr="0023127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1E2331" w:rsidRPr="00231270">
        <w:rPr>
          <w:rFonts w:ascii="Times New Roman" w:eastAsia="Calibri" w:hAnsi="Times New Roman" w:cs="Times New Roman"/>
          <w:sz w:val="28"/>
          <w:szCs w:val="28"/>
        </w:rPr>
        <w:t xml:space="preserve">, утвержденные решением совета депутатов муниципального образования </w:t>
      </w:r>
      <w:proofErr w:type="spellStart"/>
      <w:r w:rsidR="001E2331" w:rsidRPr="00231270">
        <w:rPr>
          <w:rFonts w:ascii="Times New Roman" w:eastAsia="Calibri" w:hAnsi="Times New Roman" w:cs="Times New Roman"/>
          <w:sz w:val="28"/>
          <w:szCs w:val="28"/>
        </w:rPr>
        <w:t>Кузнечнинское</w:t>
      </w:r>
      <w:proofErr w:type="spellEnd"/>
      <w:r w:rsidR="001E2331" w:rsidRPr="00231270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="001E2331" w:rsidRPr="00231270">
        <w:rPr>
          <w:rFonts w:ascii="Times New Roman" w:eastAsia="Calibri" w:hAnsi="Times New Roman" w:cs="Times New Roman"/>
          <w:sz w:val="28"/>
          <w:szCs w:val="28"/>
        </w:rPr>
        <w:t>Приозерский</w:t>
      </w:r>
      <w:proofErr w:type="spellEnd"/>
      <w:r w:rsidR="001E2331" w:rsidRPr="0023127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от 31 января 2013 года № 152 (с изменениями)</w:t>
      </w:r>
      <w:r w:rsidR="00144558" w:rsidRPr="00231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1270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</w:t>
      </w:r>
      <w:r w:rsidR="00060189" w:rsidRPr="00231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270">
        <w:rPr>
          <w:rFonts w:ascii="Times New Roman" w:eastAsia="Calibri" w:hAnsi="Times New Roman" w:cs="Times New Roman"/>
          <w:sz w:val="28"/>
          <w:szCs w:val="28"/>
        </w:rPr>
        <w:t>приказу.</w:t>
      </w:r>
    </w:p>
    <w:p w:rsidR="006C3F20" w:rsidRPr="00231270" w:rsidRDefault="00231270" w:rsidP="00231270">
      <w:pPr>
        <w:pStyle w:val="Style3"/>
        <w:widowControl/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D66E89" w:rsidRPr="00231270">
        <w:rPr>
          <w:rFonts w:eastAsia="Calibri"/>
          <w:sz w:val="28"/>
          <w:szCs w:val="28"/>
        </w:rPr>
        <w:t>Государственному к</w:t>
      </w:r>
      <w:r w:rsidR="006C3F20" w:rsidRPr="00231270">
        <w:rPr>
          <w:rFonts w:eastAsia="Calibri"/>
          <w:sz w:val="28"/>
          <w:szCs w:val="28"/>
        </w:rPr>
        <w:t>азенному учреждению «Градостроительное развитие территорий Ленинградской области» направить</w:t>
      </w:r>
      <w:r w:rsidR="004F724B">
        <w:rPr>
          <w:rFonts w:eastAsia="Calibri"/>
          <w:sz w:val="28"/>
          <w:szCs w:val="28"/>
        </w:rPr>
        <w:t xml:space="preserve"> </w:t>
      </w:r>
      <w:r w:rsidR="004F724B">
        <w:rPr>
          <w:sz w:val="28"/>
          <w:szCs w:val="28"/>
        </w:rPr>
        <w:t>настоящий</w:t>
      </w:r>
      <w:r w:rsidR="004F724B" w:rsidRPr="00231270">
        <w:rPr>
          <w:rFonts w:eastAsia="Calibri"/>
          <w:sz w:val="28"/>
          <w:szCs w:val="28"/>
        </w:rPr>
        <w:t xml:space="preserve"> приказ (содержащиеся в нем сведения)</w:t>
      </w:r>
      <w:r w:rsidR="006C3F20" w:rsidRPr="00231270">
        <w:rPr>
          <w:rFonts w:eastAsia="Calibri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Ленинградской области</w:t>
      </w:r>
      <w:r w:rsidR="007407C2">
        <w:rPr>
          <w:rFonts w:eastAsia="Calibri"/>
          <w:sz w:val="28"/>
          <w:szCs w:val="28"/>
        </w:rPr>
        <w:t xml:space="preserve"> </w:t>
      </w:r>
      <w:r w:rsidR="006C3F20" w:rsidRPr="00231270">
        <w:rPr>
          <w:rFonts w:eastAsia="Calibri"/>
          <w:sz w:val="28"/>
          <w:szCs w:val="28"/>
        </w:rPr>
        <w:t xml:space="preserve">для внесения сведений в Единый государственный реестр недвижимости. </w:t>
      </w:r>
    </w:p>
    <w:p w:rsidR="00D66E89" w:rsidRDefault="00072141" w:rsidP="00060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E89">
        <w:rPr>
          <w:sz w:val="28"/>
          <w:szCs w:val="28"/>
        </w:rPr>
        <w:t>. Отделу правого, организационного, документационного обеспечения и контроля опубликовать</w:t>
      </w:r>
      <w:r w:rsidR="00713AA7">
        <w:rPr>
          <w:sz w:val="28"/>
          <w:szCs w:val="28"/>
        </w:rPr>
        <w:t xml:space="preserve"> </w:t>
      </w:r>
      <w:r w:rsidR="00713AA7">
        <w:rPr>
          <w:sz w:val="28"/>
          <w:szCs w:val="28"/>
        </w:rPr>
        <w:t>настоящий приказ</w:t>
      </w:r>
      <w:r w:rsidR="00D66E89">
        <w:rPr>
          <w:sz w:val="28"/>
          <w:szCs w:val="28"/>
        </w:rPr>
        <w:t xml:space="preserve"> на официальном сайте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="00D66E89">
        <w:rPr>
          <w:sz w:val="28"/>
          <w:szCs w:val="28"/>
        </w:rPr>
        <w:t>.</w:t>
      </w:r>
    </w:p>
    <w:p w:rsidR="00D66E89" w:rsidRDefault="0007214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66E89" w:rsidRPr="00231270">
        <w:rPr>
          <w:sz w:val="28"/>
          <w:szCs w:val="28"/>
        </w:rPr>
        <w:t>. Отделу контроля за соблюдением законодательства о градостроительной</w:t>
      </w:r>
      <w:r w:rsidR="00D66E89">
        <w:rPr>
          <w:rFonts w:eastAsiaTheme="minorHAnsi"/>
          <w:sz w:val="28"/>
          <w:szCs w:val="28"/>
          <w:lang w:eastAsia="en-US"/>
        </w:rPr>
        <w:t xml:space="preserve"> деятельности осуществить контроль за размещением соответствующих сведений в Ф</w:t>
      </w:r>
      <w:r w:rsidR="00F944D9">
        <w:rPr>
          <w:rFonts w:eastAsiaTheme="minorHAnsi"/>
          <w:sz w:val="28"/>
          <w:szCs w:val="28"/>
          <w:lang w:eastAsia="en-US"/>
        </w:rPr>
        <w:t>едеральной государственной информационной системе территориального планирования.</w:t>
      </w:r>
    </w:p>
    <w:p w:rsidR="00060189" w:rsidRDefault="0007214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60189">
        <w:rPr>
          <w:rFonts w:eastAsiaTheme="minorHAnsi"/>
          <w:sz w:val="28"/>
          <w:szCs w:val="28"/>
          <w:lang w:eastAsia="en-US"/>
        </w:rPr>
        <w:t>. Контроль за исп</w:t>
      </w:r>
      <w:r w:rsidR="00F944D9">
        <w:rPr>
          <w:rFonts w:eastAsiaTheme="minorHAnsi"/>
          <w:sz w:val="28"/>
          <w:szCs w:val="28"/>
          <w:lang w:eastAsia="en-US"/>
        </w:rPr>
        <w:t>олнением настоящего приказа</w:t>
      </w:r>
      <w:r w:rsidR="00060189"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bookmarkStart w:id="0" w:name="_GoBack"/>
      <w:bookmarkEnd w:id="0"/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383684" w:rsidRPr="009F6437" w:rsidRDefault="00383684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lastRenderedPageBreak/>
        <w:t>Приложение</w:t>
      </w:r>
    </w:p>
    <w:p w:rsidR="00383684" w:rsidRPr="009F6437" w:rsidRDefault="00383684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383684" w:rsidRPr="009F6437" w:rsidRDefault="00383684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383684" w:rsidRPr="009F6437" w:rsidRDefault="00383684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383684" w:rsidRPr="009F6437" w:rsidRDefault="00383684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383684" w:rsidRPr="009F6437" w:rsidRDefault="00383684" w:rsidP="00383684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383684" w:rsidRPr="009F6437" w:rsidRDefault="00383684" w:rsidP="00383684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Pr="009F6437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83684" w:rsidRDefault="00383684" w:rsidP="00383684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>
        <w:rPr>
          <w:sz w:val="28"/>
          <w:szCs w:val="28"/>
        </w:rPr>
        <w:t xml:space="preserve">Правил </w:t>
      </w:r>
      <w:r w:rsidRPr="009F6437">
        <w:rPr>
          <w:sz w:val="28"/>
          <w:szCs w:val="28"/>
        </w:rPr>
        <w:t>землепользования и застройки</w:t>
      </w:r>
    </w:p>
    <w:p w:rsidR="00383684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E555CF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E555CF">
        <w:rPr>
          <w:rFonts w:eastAsia="Times New Roman"/>
          <w:sz w:val="28"/>
          <w:szCs w:val="28"/>
        </w:rPr>
        <w:t>Ку</w:t>
      </w:r>
      <w:r>
        <w:rPr>
          <w:rFonts w:eastAsia="Times New Roman"/>
          <w:sz w:val="28"/>
          <w:szCs w:val="28"/>
        </w:rPr>
        <w:t>знечнинское</w:t>
      </w:r>
      <w:proofErr w:type="spellEnd"/>
      <w:r>
        <w:rPr>
          <w:rFonts w:eastAsia="Times New Roman"/>
          <w:sz w:val="28"/>
          <w:szCs w:val="28"/>
        </w:rPr>
        <w:t xml:space="preserve"> городское поселение</w:t>
      </w:r>
    </w:p>
    <w:p w:rsidR="00383684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E555CF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E555CF">
        <w:rPr>
          <w:rFonts w:eastAsia="Times New Roman"/>
          <w:sz w:val="28"/>
          <w:szCs w:val="28"/>
        </w:rPr>
        <w:t>Приозерский</w:t>
      </w:r>
      <w:proofErr w:type="spellEnd"/>
      <w:r w:rsidRPr="00E555CF">
        <w:rPr>
          <w:rFonts w:eastAsia="Times New Roman"/>
          <w:sz w:val="28"/>
          <w:szCs w:val="28"/>
        </w:rPr>
        <w:t xml:space="preserve"> муниципаль</w:t>
      </w:r>
      <w:r>
        <w:rPr>
          <w:rFonts w:eastAsia="Times New Roman"/>
          <w:sz w:val="28"/>
          <w:szCs w:val="28"/>
        </w:rPr>
        <w:t>ный район</w:t>
      </w:r>
    </w:p>
    <w:p w:rsidR="00383684" w:rsidRPr="00453143" w:rsidRDefault="00383684" w:rsidP="0038368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E555CF">
        <w:rPr>
          <w:rFonts w:eastAsia="Times New Roman"/>
          <w:sz w:val="28"/>
          <w:szCs w:val="28"/>
        </w:rPr>
        <w:t>Ленинградской области</w:t>
      </w:r>
    </w:p>
    <w:p w:rsidR="00383684" w:rsidRPr="006C589B" w:rsidRDefault="00383684" w:rsidP="00383684">
      <w:pPr>
        <w:ind w:firstLine="708"/>
        <w:jc w:val="center"/>
        <w:rPr>
          <w:sz w:val="28"/>
          <w:szCs w:val="28"/>
        </w:rPr>
      </w:pPr>
      <w:r w:rsidRPr="006C589B">
        <w:rPr>
          <w:sz w:val="28"/>
          <w:szCs w:val="28"/>
        </w:rPr>
        <w:br w:type="page"/>
      </w:r>
    </w:p>
    <w:p w:rsidR="00383684" w:rsidRPr="0038064A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lastRenderedPageBreak/>
        <w:t xml:space="preserve">1. Статью 48.1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383684" w:rsidRPr="0038064A" w:rsidRDefault="00383684" w:rsidP="00383684">
      <w:pPr>
        <w:shd w:val="clear" w:color="auto" w:fill="FFFFFF"/>
        <w:jc w:val="both"/>
        <w:rPr>
          <w:sz w:val="28"/>
          <w:szCs w:val="28"/>
        </w:rPr>
      </w:pPr>
      <w:r w:rsidRPr="0038064A">
        <w:rPr>
          <w:sz w:val="28"/>
          <w:szCs w:val="28"/>
        </w:rPr>
        <w:t>«Статья 48</w:t>
      </w:r>
      <w:r>
        <w:rPr>
          <w:sz w:val="28"/>
          <w:szCs w:val="28"/>
        </w:rPr>
        <w:t>.1</w:t>
      </w:r>
      <w:r w:rsidRPr="0038064A">
        <w:rPr>
          <w:sz w:val="28"/>
          <w:szCs w:val="28"/>
        </w:rPr>
        <w:t xml:space="preserve">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p w:rsidR="00383684" w:rsidRPr="0038064A" w:rsidRDefault="00383684" w:rsidP="00383684">
      <w:pPr>
        <w:shd w:val="clear" w:color="auto" w:fill="FFFFFF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29"/>
      </w:tblGrid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Санитарно-защитные зоны предприятий, сооружений и иных объектов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Н-2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Санитарные разрывы от транспортных коммуникаций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Н-3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Охранные зоны объектов инженерной инфраструктуры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Н-4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Придорожные полосы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Н-5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proofErr w:type="spellStart"/>
            <w:r w:rsidRPr="0038064A">
              <w:t>Водоохранные</w:t>
            </w:r>
            <w:proofErr w:type="spellEnd"/>
            <w:r w:rsidRPr="0038064A">
              <w:t xml:space="preserve"> зоны 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Н-6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 xml:space="preserve">Прибрежные защитные полосы 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Н-7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Береговые полосы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Н-8.1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Зона санитарной охраны источников водоснабжения I пояса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Н-8.2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Зона санитарной охраны источников водоснабжения II-III пояса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Н-8.3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Санитарно-защитная зона водовода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Н-9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Зеленая зона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Н-10.1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 xml:space="preserve">Зона затопления в отношении территорий, прилегающих к реке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Рукав), затапливаемых при половодьях и паводках однопроцентной обеспеченности (повторяемость один раз в 100 лет)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Н-10.2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 xml:space="preserve">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Н-11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 xml:space="preserve">Зона месторождений полезных ископаемых 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Н-12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Максимальная зона действия от хранилища взрывчатых веществ</w:t>
            </w:r>
          </w:p>
        </w:tc>
      </w:tr>
      <w:tr w:rsidR="00383684" w:rsidRPr="0038064A" w:rsidTr="00941258">
        <w:tc>
          <w:tcPr>
            <w:tcW w:w="993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Н-13</w:t>
            </w:r>
          </w:p>
        </w:tc>
        <w:tc>
          <w:tcPr>
            <w:tcW w:w="8329" w:type="dxa"/>
          </w:tcPr>
          <w:p w:rsidR="00383684" w:rsidRPr="0038064A" w:rsidRDefault="00383684" w:rsidP="00941258">
            <w:pPr>
              <w:shd w:val="clear" w:color="auto" w:fill="FFFFFF"/>
              <w:jc w:val="both"/>
            </w:pPr>
            <w:r w:rsidRPr="0038064A">
              <w:t>Максимальная взрывоопасная зона от объектов промышленной добычи камня буровзрывным способом</w:t>
            </w:r>
          </w:p>
        </w:tc>
      </w:tr>
    </w:tbl>
    <w:p w:rsidR="00383684" w:rsidRDefault="00383684" w:rsidP="003836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383684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2. В статье 48</w:t>
      </w:r>
      <w:r>
        <w:rPr>
          <w:sz w:val="28"/>
          <w:szCs w:val="28"/>
        </w:rPr>
        <w:t>.2: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6C2">
        <w:rPr>
          <w:sz w:val="28"/>
          <w:szCs w:val="28"/>
        </w:rPr>
        <w:t xml:space="preserve"> зону 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 ограничения использования земельных участков и объектов капитального строительства по экологическим условиям и нормативному режиму хозяйственной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для зоны «Н-10 Зона затопления паводковыми водами 1 % обеспеченности»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6C2">
        <w:rPr>
          <w:sz w:val="28"/>
          <w:szCs w:val="28"/>
        </w:rPr>
        <w:t xml:space="preserve"> дополнить </w:t>
      </w:r>
      <w:r w:rsidR="00713AA7">
        <w:rPr>
          <w:sz w:val="28"/>
          <w:szCs w:val="28"/>
        </w:rPr>
        <w:t>зонами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деятельности: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«Н-10.1 Зона затопления в отношении территорий, прилегающих к реке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Рукав), затапливаемых при половодьях и паводках однопроцентной обеспеченности (повторяемость один раз в 100 лет)</w:t>
      </w:r>
    </w:p>
    <w:p w:rsidR="00383684" w:rsidRPr="009366C2" w:rsidRDefault="00383684" w:rsidP="00383684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;</w:t>
      </w:r>
    </w:p>
    <w:p w:rsidR="00713AA7" w:rsidRPr="009366C2" w:rsidRDefault="00713AA7" w:rsidP="00713AA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Н-10.2 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</w:t>
      </w:r>
    </w:p>
    <w:p w:rsidR="00383684" w:rsidRDefault="00713AA7" w:rsidP="00713AA7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50212F" w:rsidRPr="00713AA7" w:rsidRDefault="0050212F" w:rsidP="00713AA7">
      <w:pPr>
        <w:tabs>
          <w:tab w:val="left" w:pos="5497"/>
        </w:tabs>
      </w:pPr>
    </w:p>
    <w:sectPr w:rsidR="0050212F" w:rsidRPr="00713AA7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446CA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9</cp:revision>
  <cp:lastPrinted>2020-07-31T09:09:00Z</cp:lastPrinted>
  <dcterms:created xsi:type="dcterms:W3CDTF">2020-07-30T13:10:00Z</dcterms:created>
  <dcterms:modified xsi:type="dcterms:W3CDTF">2020-07-31T09:16:00Z</dcterms:modified>
</cp:coreProperties>
</file>