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2F" w:rsidRDefault="00933B2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3B2F" w:rsidRDefault="00933B2F">
      <w:pPr>
        <w:pStyle w:val="ConsPlusNormal"/>
        <w:outlineLvl w:val="0"/>
      </w:pPr>
    </w:p>
    <w:p w:rsidR="00933B2F" w:rsidRDefault="00933B2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33B2F" w:rsidRDefault="00933B2F">
      <w:pPr>
        <w:pStyle w:val="ConsPlusTitle"/>
        <w:jc w:val="center"/>
      </w:pPr>
    </w:p>
    <w:p w:rsidR="00933B2F" w:rsidRDefault="00933B2F">
      <w:pPr>
        <w:pStyle w:val="ConsPlusTitle"/>
        <w:jc w:val="center"/>
      </w:pPr>
      <w:r>
        <w:t>ПОСТАНОВЛЕНИЕ</w:t>
      </w:r>
    </w:p>
    <w:p w:rsidR="00933B2F" w:rsidRDefault="00933B2F">
      <w:pPr>
        <w:pStyle w:val="ConsPlusTitle"/>
        <w:jc w:val="center"/>
      </w:pPr>
      <w:r>
        <w:t>от 4 июля 2023 г. N 458</w:t>
      </w:r>
    </w:p>
    <w:p w:rsidR="00933B2F" w:rsidRDefault="00933B2F">
      <w:pPr>
        <w:pStyle w:val="ConsPlusTitle"/>
        <w:jc w:val="center"/>
      </w:pPr>
    </w:p>
    <w:p w:rsidR="00933B2F" w:rsidRDefault="00933B2F">
      <w:pPr>
        <w:pStyle w:val="ConsPlusTitle"/>
        <w:jc w:val="center"/>
      </w:pPr>
      <w:r>
        <w:t>О ВНЕСЕНИИ ИЗМЕНЕНИЙ В ПОСТАНОВЛЕНИЕ ПРАВИТЕЛЬСТВА</w:t>
      </w:r>
    </w:p>
    <w:p w:rsidR="00933B2F" w:rsidRDefault="00933B2F">
      <w:pPr>
        <w:pStyle w:val="ConsPlusTitle"/>
        <w:jc w:val="center"/>
      </w:pPr>
      <w:r>
        <w:t>ЛЕНИНГРАДСКОЙ ОБЛАСТИ ОТ 4 ДЕКАБРЯ 2017 ГОДА N 525</w:t>
      </w:r>
    </w:p>
    <w:p w:rsidR="00933B2F" w:rsidRDefault="00933B2F">
      <w:pPr>
        <w:pStyle w:val="ConsPlusTitle"/>
        <w:jc w:val="center"/>
      </w:pPr>
      <w:r>
        <w:t>"ОБ УТВЕРЖДЕНИИ МЕСТНЫХ НОРМАТИВОВ</w:t>
      </w:r>
    </w:p>
    <w:p w:rsidR="00933B2F" w:rsidRDefault="00933B2F">
      <w:pPr>
        <w:pStyle w:val="ConsPlusTitle"/>
        <w:jc w:val="center"/>
      </w:pPr>
      <w:r>
        <w:t>ГРАДОСТРОИТЕЛЬНОГО ПРОЕКТИРОВАНИЯ"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29.4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частью 1 статьи 1</w:t>
        </w:r>
      </w:hyperlink>
      <w: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Правительство Ленинградской области постановляет: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 xml:space="preserve">1. Внести в местные </w:t>
      </w:r>
      <w:hyperlink r:id="rId8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проектирования, утвержденные постановлением Правительства Ленинградской области от 4 декабря 2017 года N 525, </w:t>
      </w:r>
      <w:hyperlink w:anchor="P3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председателя комитета градостроительной политики Ленинградской области.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4. Действие настоящего постановления не распространяется на проекты планировки территории и проекты межевания территории, подготовленные до дня вступления в силу настоящего постановления и представленные на проверку в уполномоченный орган исполнительной власти Ленинградской области не позднее чем через 30 календарных дней со дня вступления в силу настоящего постановления.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jc w:val="right"/>
      </w:pPr>
      <w:r>
        <w:t>Губернатор</w:t>
      </w:r>
    </w:p>
    <w:p w:rsidR="00933B2F" w:rsidRDefault="00933B2F">
      <w:pPr>
        <w:pStyle w:val="ConsPlusNormal"/>
        <w:jc w:val="right"/>
      </w:pPr>
      <w:r>
        <w:t>Ленинградской области</w:t>
      </w:r>
    </w:p>
    <w:p w:rsidR="00933B2F" w:rsidRDefault="00933B2F">
      <w:pPr>
        <w:pStyle w:val="ConsPlusNormal"/>
        <w:jc w:val="right"/>
      </w:pPr>
      <w:r>
        <w:t>А.Дрозденко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jc w:val="right"/>
        <w:outlineLvl w:val="0"/>
      </w:pPr>
      <w:r>
        <w:t>ПРИЛОЖЕНИЕ</w:t>
      </w:r>
    </w:p>
    <w:p w:rsidR="00933B2F" w:rsidRDefault="00933B2F">
      <w:pPr>
        <w:pStyle w:val="ConsPlusNormal"/>
        <w:jc w:val="right"/>
      </w:pPr>
      <w:r>
        <w:t>к постановлению Правительства</w:t>
      </w:r>
    </w:p>
    <w:p w:rsidR="00933B2F" w:rsidRDefault="00933B2F">
      <w:pPr>
        <w:pStyle w:val="ConsPlusNormal"/>
        <w:jc w:val="right"/>
      </w:pPr>
      <w:r>
        <w:t>Ленинградской области</w:t>
      </w:r>
    </w:p>
    <w:p w:rsidR="00933B2F" w:rsidRDefault="00933B2F">
      <w:pPr>
        <w:pStyle w:val="ConsPlusNormal"/>
        <w:jc w:val="right"/>
      </w:pPr>
      <w:r>
        <w:t>от 04.07.2023 N 458</w:t>
      </w:r>
    </w:p>
    <w:p w:rsidR="00933B2F" w:rsidRDefault="00933B2F">
      <w:pPr>
        <w:pStyle w:val="ConsPlusNormal"/>
        <w:jc w:val="center"/>
      </w:pPr>
    </w:p>
    <w:p w:rsidR="00933B2F" w:rsidRDefault="00933B2F">
      <w:pPr>
        <w:pStyle w:val="ConsPlusTitle"/>
        <w:jc w:val="center"/>
      </w:pPr>
      <w:bookmarkStart w:id="1" w:name="P31"/>
      <w:bookmarkEnd w:id="1"/>
      <w:r>
        <w:t>ИЗМЕНЕНИЯ,</w:t>
      </w:r>
    </w:p>
    <w:p w:rsidR="00933B2F" w:rsidRDefault="00933B2F">
      <w:pPr>
        <w:pStyle w:val="ConsPlusTitle"/>
        <w:jc w:val="center"/>
      </w:pPr>
      <w:r>
        <w:t xml:space="preserve">КОТОРЫЕ ВНОСЯТСЯ В МЕСТНЫЕ НОРМАТИВЫ </w:t>
      </w:r>
      <w:proofErr w:type="gramStart"/>
      <w:r>
        <w:t>ГРАДОСТРОИТЕЛЬНОГО</w:t>
      </w:r>
      <w:proofErr w:type="gramEnd"/>
    </w:p>
    <w:p w:rsidR="00933B2F" w:rsidRDefault="00933B2F">
      <w:pPr>
        <w:pStyle w:val="ConsPlusTitle"/>
        <w:jc w:val="center"/>
      </w:pPr>
      <w:r>
        <w:t>ПРОЕКТИРОВАНИЯ, УТВЕРЖДЕННЫЕ ПОСТАНОВЛЕНИЕМ ПРАВИТЕЛЬСТВА</w:t>
      </w:r>
    </w:p>
    <w:p w:rsidR="00933B2F" w:rsidRDefault="00933B2F">
      <w:pPr>
        <w:pStyle w:val="ConsPlusTitle"/>
        <w:jc w:val="center"/>
      </w:pPr>
      <w:r>
        <w:t>ЛЕНИНГРАДСКОЙ ОБЛАСТИ ОТ 4 ДЕКАБРЯ 2017 ГОДА N 525</w:t>
      </w:r>
    </w:p>
    <w:p w:rsidR="00933B2F" w:rsidRDefault="00933B2F">
      <w:pPr>
        <w:pStyle w:val="ConsPlusNormal"/>
        <w:jc w:val="center"/>
      </w:pPr>
    </w:p>
    <w:p w:rsidR="00933B2F" w:rsidRDefault="00933B2F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"2.1.2. Расчетные показатели минимально допустимого уровня обеспеченности </w:t>
      </w:r>
      <w:r>
        <w:lastRenderedPageBreak/>
        <w:t>дошкольными образовательными и общеобразовательными организациями и расчетные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sectPr w:rsidR="00933B2F" w:rsidSect="00C14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80"/>
        <w:gridCol w:w="1912"/>
        <w:gridCol w:w="1780"/>
        <w:gridCol w:w="2380"/>
      </w:tblGrid>
      <w:tr w:rsidR="00933B2F">
        <w:tc>
          <w:tcPr>
            <w:tcW w:w="2098" w:type="dxa"/>
            <w:vMerge w:val="restart"/>
          </w:tcPr>
          <w:p w:rsidR="00933B2F" w:rsidRDefault="00933B2F">
            <w:pPr>
              <w:pStyle w:val="ConsPlusNormal"/>
              <w:jc w:val="center"/>
            </w:pPr>
            <w:r>
              <w:lastRenderedPageBreak/>
              <w:t>Типы населенных пунктов</w:t>
            </w:r>
          </w:p>
        </w:tc>
        <w:tc>
          <w:tcPr>
            <w:tcW w:w="3692" w:type="dxa"/>
            <w:gridSpan w:val="2"/>
          </w:tcPr>
          <w:p w:rsidR="00933B2F" w:rsidRDefault="00933B2F">
            <w:pPr>
              <w:pStyle w:val="ConsPlusNormal"/>
              <w:jc w:val="center"/>
            </w:pPr>
            <w:r>
              <w:t>Дошкольные образовательные организации &lt;*&gt;</w:t>
            </w:r>
          </w:p>
        </w:tc>
        <w:tc>
          <w:tcPr>
            <w:tcW w:w="4160" w:type="dxa"/>
            <w:gridSpan w:val="2"/>
          </w:tcPr>
          <w:p w:rsidR="00933B2F" w:rsidRDefault="00933B2F">
            <w:pPr>
              <w:pStyle w:val="ConsPlusNormal"/>
              <w:jc w:val="center"/>
            </w:pPr>
            <w:r>
              <w:t>Общеобразовательные организации &lt;*&gt;</w:t>
            </w:r>
          </w:p>
        </w:tc>
      </w:tr>
      <w:tr w:rsidR="00933B2F">
        <w:tc>
          <w:tcPr>
            <w:tcW w:w="2098" w:type="dxa"/>
            <w:vMerge/>
          </w:tcPr>
          <w:p w:rsidR="00933B2F" w:rsidRDefault="00933B2F">
            <w:pPr>
              <w:pStyle w:val="ConsPlusNormal"/>
            </w:pPr>
          </w:p>
        </w:tc>
        <w:tc>
          <w:tcPr>
            <w:tcW w:w="1780" w:type="dxa"/>
          </w:tcPr>
          <w:p w:rsidR="00933B2F" w:rsidRDefault="00933B2F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1912" w:type="dxa"/>
          </w:tcPr>
          <w:p w:rsidR="00933B2F" w:rsidRDefault="00933B2F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380" w:type="dxa"/>
          </w:tcPr>
          <w:p w:rsidR="00933B2F" w:rsidRDefault="00933B2F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933B2F">
        <w:tc>
          <w:tcPr>
            <w:tcW w:w="2098" w:type="dxa"/>
          </w:tcPr>
          <w:p w:rsidR="00933B2F" w:rsidRDefault="00933B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933B2F" w:rsidRDefault="00933B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933B2F" w:rsidRDefault="00933B2F">
            <w:pPr>
              <w:pStyle w:val="ConsPlusNormal"/>
              <w:jc w:val="center"/>
            </w:pPr>
            <w:r>
              <w:t>5</w:t>
            </w:r>
          </w:p>
        </w:tc>
      </w:tr>
      <w:tr w:rsidR="00933B2F">
        <w:tc>
          <w:tcPr>
            <w:tcW w:w="2098" w:type="dxa"/>
          </w:tcPr>
          <w:p w:rsidR="00933B2F" w:rsidRDefault="00933B2F">
            <w:pPr>
              <w:pStyle w:val="ConsPlusNormal"/>
            </w:pPr>
            <w:r>
              <w:t>Сельские населенные пункты с численностью населения свыше 12000 человек на срок, установленный генеральным планом поселения, городского округа; сельские населенные пункты, расположенные в зоне</w:t>
            </w:r>
            <w:proofErr w:type="gramStart"/>
            <w:r>
              <w:t xml:space="preserve"> А</w:t>
            </w:r>
            <w:proofErr w:type="gramEnd"/>
            <w:r>
              <w:t>, городские населенные пункты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</w:pPr>
            <w:r>
              <w:t>60 мест на 1000 человек постоянного населения</w:t>
            </w:r>
          </w:p>
        </w:tc>
        <w:tc>
          <w:tcPr>
            <w:tcW w:w="1912" w:type="dxa"/>
          </w:tcPr>
          <w:p w:rsidR="00933B2F" w:rsidRDefault="00933B2F">
            <w:pPr>
              <w:pStyle w:val="ConsPlusNormal"/>
            </w:pPr>
            <w:r>
              <w:t>500 м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</w:pPr>
            <w:r>
              <w:t>91 место на 1000 человек постоянного населения</w:t>
            </w:r>
          </w:p>
        </w:tc>
        <w:tc>
          <w:tcPr>
            <w:tcW w:w="2380" w:type="dxa"/>
          </w:tcPr>
          <w:p w:rsidR="00933B2F" w:rsidRDefault="00933B2F">
            <w:pPr>
              <w:pStyle w:val="ConsPlusNormal"/>
            </w:pPr>
            <w:r>
              <w:t>500 м</w:t>
            </w:r>
          </w:p>
        </w:tc>
      </w:tr>
      <w:tr w:rsidR="00933B2F">
        <w:tc>
          <w:tcPr>
            <w:tcW w:w="2098" w:type="dxa"/>
          </w:tcPr>
          <w:p w:rsidR="00933B2F" w:rsidRDefault="00933B2F">
            <w:pPr>
              <w:pStyle w:val="ConsPlusNormal"/>
            </w:pPr>
            <w:r>
              <w:t>Остальные сельские населенные пункты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</w:pPr>
            <w:r>
              <w:t>40 мест на 1000 человек постоянного населения</w:t>
            </w:r>
          </w:p>
        </w:tc>
        <w:tc>
          <w:tcPr>
            <w:tcW w:w="1912" w:type="dxa"/>
          </w:tcPr>
          <w:p w:rsidR="00933B2F" w:rsidRDefault="00933B2F">
            <w:pPr>
              <w:pStyle w:val="ConsPlusNormal"/>
            </w:pPr>
            <w:r>
              <w:t>1000 м &lt;**&gt;</w:t>
            </w:r>
          </w:p>
        </w:tc>
        <w:tc>
          <w:tcPr>
            <w:tcW w:w="1780" w:type="dxa"/>
          </w:tcPr>
          <w:p w:rsidR="00933B2F" w:rsidRDefault="00933B2F">
            <w:pPr>
              <w:pStyle w:val="ConsPlusNormal"/>
            </w:pPr>
            <w:r>
              <w:t>61 место на 1000 человек постоянного населения</w:t>
            </w:r>
          </w:p>
        </w:tc>
        <w:tc>
          <w:tcPr>
            <w:tcW w:w="2380" w:type="dxa"/>
          </w:tcPr>
          <w:p w:rsidR="00933B2F" w:rsidRDefault="00933B2F">
            <w:pPr>
              <w:pStyle w:val="ConsPlusNormal"/>
            </w:pPr>
            <w:r>
              <w:t>1000 м &lt;**&gt;</w:t>
            </w:r>
          </w:p>
        </w:tc>
      </w:tr>
    </w:tbl>
    <w:p w:rsidR="00933B2F" w:rsidRDefault="00933B2F">
      <w:pPr>
        <w:pStyle w:val="ConsPlusNormal"/>
        <w:sectPr w:rsidR="00933B2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>Примечания.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&lt;**&gt; При расстояниях свыше указанных организуется транспортное обслуживание (до организации и обратно). Расстояние транспортного обслуживания не должно превышать 30 км в одну сторону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Пункт 2.1.6</w:t>
        </w:r>
      </w:hyperlink>
      <w:r>
        <w:t xml:space="preserve">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"2.1.6. Размеры земельных участков общеобразовательных учреждений определяются в соответствии с </w:t>
      </w:r>
      <w:hyperlink r:id="rId11">
        <w:r>
          <w:rPr>
            <w:color w:val="0000FF"/>
          </w:rPr>
          <w:t>таблицей Д.1</w:t>
        </w:r>
      </w:hyperlink>
      <w:r>
        <w:t xml:space="preserve"> приложения Д СП 42.13330.2016. "Свод правил. Градостроительство. Планировка и застройка городских и сельских поселений. Актуализированная редакция СНиП 2.07.01-89*". Допускается отклонение от указанных значений размеров земельных участков общеобразовательных учреждений в случае применения предварительных национальных стандартов Российской Федерации, стандартов организаций </w:t>
      </w:r>
      <w:proofErr w:type="gramStart"/>
      <w:r>
        <w:t>и(</w:t>
      </w:r>
      <w:proofErr w:type="gramEnd"/>
      <w:r>
        <w:t xml:space="preserve">или) иных документов, в которых проектные значения, характеристики здания или сооружения, а также проектируемые мероприятия по обеспечению безопасности обоснованы одним или несколькими способами, предусмотренными </w:t>
      </w:r>
      <w:hyperlink r:id="rId12">
        <w:r>
          <w:rPr>
            <w:color w:val="0000FF"/>
          </w:rPr>
          <w:t>частью 6 статьи 15</w:t>
        </w:r>
      </w:hyperlink>
      <w:r>
        <w:t xml:space="preserve"> Федерального закона от 30 декабря 2009 года N 384-ФЗ "Технический регламент о безопасности зданий и сооружений". Обоснованность принятых технических решений устанавливается в рамках проведения экспертизы проектной документации согласно положениям </w:t>
      </w:r>
      <w:hyperlink r:id="rId13">
        <w:r>
          <w:rPr>
            <w:color w:val="0000FF"/>
          </w:rPr>
          <w:t>статьи 49</w:t>
        </w:r>
      </w:hyperlink>
      <w:r>
        <w:t xml:space="preserve"> Градостроительного кодекса Российской Федерации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3. </w:t>
      </w:r>
      <w:hyperlink r:id="rId14">
        <w:r>
          <w:rPr>
            <w:color w:val="0000FF"/>
          </w:rPr>
          <w:t>Пункт 2.1.7</w:t>
        </w:r>
      </w:hyperlink>
      <w:r>
        <w:t xml:space="preserve"> исключить.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4. </w:t>
      </w:r>
      <w:hyperlink r:id="rId15">
        <w:r>
          <w:rPr>
            <w:color w:val="0000FF"/>
          </w:rPr>
          <w:t>Пункт 2.1.12</w:t>
        </w:r>
      </w:hyperlink>
      <w:r>
        <w:t xml:space="preserve">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"2.1.12. Расчетный показатель минимально допустимого уровня обеспеченности населения объектами торгово-бытового обслуживания</w:t>
      </w:r>
    </w:p>
    <w:p w:rsidR="00933B2F" w:rsidRDefault="00933B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933B2F">
        <w:tc>
          <w:tcPr>
            <w:tcW w:w="3742" w:type="dxa"/>
          </w:tcPr>
          <w:p w:rsidR="00933B2F" w:rsidRDefault="00933B2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  <w:jc w:val="center"/>
            </w:pPr>
            <w:r>
              <w:t>Показатель минимально допустимого уровня обеспеченности, единиц на 1000 чел.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  <w:jc w:val="center"/>
            </w:pPr>
            <w:r>
              <w:t>2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</w:pPr>
            <w:r>
              <w:t>Рынки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</w:pPr>
            <w:r>
              <w:t>24 кв. м торговой площади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</w:pPr>
            <w:r>
              <w:t>Банно-оздоровительный комплекс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</w:pPr>
            <w:r>
              <w:t>5 помывочных мест - для городского округа и городских поселений,</w:t>
            </w:r>
          </w:p>
          <w:p w:rsidR="00933B2F" w:rsidRDefault="00933B2F">
            <w:pPr>
              <w:pStyle w:val="ConsPlusNormal"/>
            </w:pPr>
            <w:r>
              <w:t>7 помывочных мест - для сельских поселений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</w:pPr>
            <w:r>
              <w:t>Гостиница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</w:pPr>
            <w:r>
              <w:t>6 мест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</w:pPr>
            <w:r>
              <w:t>Общественный туалет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</w:pPr>
            <w:r>
              <w:t>1 прибор</w:t>
            </w:r>
          </w:p>
        </w:tc>
      </w:tr>
    </w:tbl>
    <w:p w:rsidR="00933B2F" w:rsidRDefault="00933B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933B2F">
        <w:tc>
          <w:tcPr>
            <w:tcW w:w="3742" w:type="dxa"/>
          </w:tcPr>
          <w:p w:rsidR="00933B2F" w:rsidRDefault="00933B2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  <w:jc w:val="center"/>
            </w:pPr>
            <w:r>
              <w:t>Показатель минимально допустимого уровня обеспеченности, единиц на 1 человека</w:t>
            </w:r>
          </w:p>
        </w:tc>
      </w:tr>
      <w:tr w:rsidR="00933B2F">
        <w:tc>
          <w:tcPr>
            <w:tcW w:w="3742" w:type="dxa"/>
          </w:tcPr>
          <w:p w:rsidR="00933B2F" w:rsidRDefault="00933B2F">
            <w:pPr>
              <w:pStyle w:val="ConsPlusNormal"/>
            </w:pPr>
            <w:r>
              <w:t>Объекты обслуживания жилой застройки &lt;*&gt;</w:t>
            </w:r>
          </w:p>
        </w:tc>
        <w:tc>
          <w:tcPr>
            <w:tcW w:w="5329" w:type="dxa"/>
          </w:tcPr>
          <w:p w:rsidR="00933B2F" w:rsidRDefault="00933B2F">
            <w:pPr>
              <w:pStyle w:val="ConsPlusNormal"/>
            </w:pPr>
            <w:r>
              <w:t>Не менее 1,5 кв. м/чел.</w:t>
            </w:r>
          </w:p>
        </w:tc>
      </w:tr>
    </w:tbl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>--------------------------------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&lt;*&gt; Примечания.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1. Перечень объектов обслуживания жилой застройки предприятий торговли, общественного питания и бытового обслуживания, организаций жилищно-коммунального хозяйства определяется в соответствии с </w:t>
      </w:r>
      <w:hyperlink r:id="rId16">
        <w:r>
          <w:rPr>
            <w:color w:val="0000FF"/>
          </w:rPr>
          <w:t>таблицей Д.1</w:t>
        </w:r>
      </w:hyperlink>
      <w:r>
        <w:t xml:space="preserve"> приложения Д СП 42.13330.2016 "Свод правил. Градостроительство. Планировка и застройка городских и сельских поселений. Актуализированная редакция СНиП 2.07.01-89*" и </w:t>
      </w:r>
      <w:hyperlink r:id="rId1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57137-2016</w:t>
        </w:r>
      </w:hyperlink>
      <w:r>
        <w:t xml:space="preserve"> "Национальный стандарт Российской Федерации. Бытовое обслуживание населения. Термины и определения".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Общая площадь обслуживающих население помещений (торговые, офисные, бытовые, производственные) принимается с учетом всех необходимых площадей для обеспечения технологического процесса.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>3. Функциональное назначение этих помещений определяется на основании задания на проектирование на стадии архитектурно-строительного проектирования с учетом действующих нормативов градостроительного проектирования и других действующих строительных норм и правил.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4. Данный норматив является обязательным при разработке документации по планировке территории.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5. Расчет обеспечения парковочными местами объектов обслуживания жилой застройки в соответствии с </w:t>
      </w:r>
      <w:hyperlink r:id="rId18">
        <w:r>
          <w:rPr>
            <w:color w:val="0000FF"/>
          </w:rPr>
          <w:t>приложением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 xml:space="preserve"> СП 42.13330.2016 "Свод правил. Градостроительство. Планировка и застройка городских и сельских поселений. </w:t>
      </w:r>
      <w:proofErr w:type="gramStart"/>
      <w:r>
        <w:t>Актуализированная редакция СНиП 2.07.01-89*" принимается как для коммерческо-деловых центров, офисных зданий и помещений, страховых компаний - 1 м/м на 50 кв. м общей площади для зоны А, предусмотренной пунктом 14 Региональных нормативов градостроительного проектирования Ленинградской области, 1 м/м на 60 кв. м общей площади в зонах Б и В, предусмотренных пунктом 14 Региональных нормативов градостроительного проектирования Ленинградской области</w:t>
      </w:r>
      <w:proofErr w:type="gramEnd"/>
      <w:r>
        <w:t>.".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5. </w:t>
      </w:r>
      <w:hyperlink r:id="rId19">
        <w:r>
          <w:rPr>
            <w:color w:val="0000FF"/>
          </w:rPr>
          <w:t>Пункт 2.2.2</w:t>
        </w:r>
      </w:hyperlink>
      <w:r>
        <w:t xml:space="preserve"> дополнить абзацами следующего содержания:</w:t>
      </w:r>
    </w:p>
    <w:p w:rsidR="00933B2F" w:rsidRDefault="00933B2F">
      <w:pPr>
        <w:pStyle w:val="ConsPlusNormal"/>
        <w:spacing w:before="220"/>
        <w:ind w:firstLine="540"/>
        <w:jc w:val="both"/>
      </w:pPr>
      <w:proofErr w:type="gramStart"/>
      <w:r>
        <w:t>"К объектам газоснабжения местного значения муниципального района, не подлежащим отображению в схеме территориального планирования муниципального района, относятся газопроводы, обеспечивающие подачу газа в границы населенных пунктов, газопроводы, предназначенные для снятия технологических ограничений газотранспортной системы, а также иные объекты региональной программы газификации, проходящие по территории одного или нескольких поселений в границах муниципального района, если иное не предусмотрено областным законом, определяющим виды объектов</w:t>
      </w:r>
      <w:proofErr w:type="gramEnd"/>
      <w:r>
        <w:t xml:space="preserve"> местного значения муниципального района, подлежащих отображению в схеме территориального планирования муниципального района.</w:t>
      </w:r>
    </w:p>
    <w:p w:rsidR="00933B2F" w:rsidRDefault="00933B2F">
      <w:pPr>
        <w:pStyle w:val="ConsPlusNormal"/>
        <w:spacing w:before="220"/>
        <w:ind w:firstLine="540"/>
        <w:jc w:val="both"/>
      </w:pPr>
      <w:proofErr w:type="gramStart"/>
      <w:r>
        <w:t>К объектам газоснабжения местного значения поселения, городского округа, не подлежащим отображению в генеральном плане поселения, городского округа, относятся газопроводы, предназначенные для обеспечения природным газом населения, расположенные в границах поселения, городского округа, если иное не предусмотрено областным законом, определяющим виды объектов местного значения поселения, городского округа, подлежащих отображению в генеральном плане поселения, городского округа.".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6. В </w:t>
      </w:r>
      <w:hyperlink r:id="rId20">
        <w:r>
          <w:rPr>
            <w:color w:val="0000FF"/>
          </w:rPr>
          <w:t>пункте 2.3.12</w:t>
        </w:r>
      </w:hyperlink>
      <w:r>
        <w:t>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примечаниях</w:t>
        </w:r>
      </w:hyperlink>
      <w:r>
        <w:t>:</w:t>
      </w:r>
    </w:p>
    <w:p w:rsidR="00933B2F" w:rsidRDefault="00933B2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lastRenderedPageBreak/>
        <w:t>"3. Для движения автобусов и троллейбусов на магистральных улицах и дорогах в больших городских населенных пунктах следует предусматривать крайнюю полосу шириной 3,75 м: для пропуска автобусов в часы "пик" при интенсивности более 40 ед./час, а в условиях реконструкции - более 20 ед./час допускается устройство обособленной проезжей части шириной 8-12 м.";</w:t>
      </w:r>
    </w:p>
    <w:p w:rsidR="00933B2F" w:rsidRDefault="00933B2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"8. На магистральных улицах в жилой застройке средних и малых городов, а также городских поселках и сельских поселениях на остановочных пунктах общественного транспорта предусматривать заездные карманы у крайней полосы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7. </w:t>
      </w:r>
      <w:hyperlink r:id="rId24">
        <w:r>
          <w:rPr>
            <w:color w:val="0000FF"/>
          </w:rPr>
          <w:t>Дополнить</w:t>
        </w:r>
      </w:hyperlink>
      <w:r>
        <w:t xml:space="preserve"> пунктом 2.3.42 следующего содержания: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"2.3.42. При организации мест для стоянки (размещения) индивидуального автотранспорта в границах жилых зон многоквартирных домов должны быть предусмотрены места для стоянки (размещения) электромобиля </w:t>
      </w:r>
      <w:proofErr w:type="gramStart"/>
      <w:r>
        <w:t>и(</w:t>
      </w:r>
      <w:proofErr w:type="gramEnd"/>
      <w:r>
        <w:t>или) гибридных автомобилей из расчета:</w:t>
      </w:r>
    </w:p>
    <w:p w:rsidR="00933B2F" w:rsidRDefault="00933B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590"/>
        <w:gridCol w:w="3855"/>
      </w:tblGrid>
      <w:tr w:rsidR="00933B2F">
        <w:tc>
          <w:tcPr>
            <w:tcW w:w="1587" w:type="dxa"/>
            <w:vMerge w:val="restart"/>
          </w:tcPr>
          <w:p w:rsidR="00933B2F" w:rsidRDefault="00933B2F">
            <w:pPr>
              <w:pStyle w:val="ConsPlusNormal"/>
              <w:jc w:val="center"/>
            </w:pPr>
            <w:r>
              <w:t>Зона урбанизации территории</w:t>
            </w:r>
          </w:p>
        </w:tc>
        <w:tc>
          <w:tcPr>
            <w:tcW w:w="7445" w:type="dxa"/>
            <w:gridSpan w:val="2"/>
          </w:tcPr>
          <w:p w:rsidR="00933B2F" w:rsidRDefault="00933B2F">
            <w:pPr>
              <w:pStyle w:val="ConsPlusNormal"/>
              <w:jc w:val="center"/>
            </w:pPr>
            <w:r>
              <w:t xml:space="preserve">Минимально допустимый уровень обеспеченности местами для стоянки (размещения) электромобиля </w:t>
            </w:r>
            <w:proofErr w:type="gramStart"/>
            <w:r>
              <w:t>и(</w:t>
            </w:r>
            <w:proofErr w:type="gramEnd"/>
            <w:r>
              <w:t>или) гибридных автомобилей, единиц/кв. м общей площади квартир</w:t>
            </w:r>
          </w:p>
        </w:tc>
      </w:tr>
      <w:tr w:rsidR="00933B2F">
        <w:tc>
          <w:tcPr>
            <w:tcW w:w="1587" w:type="dxa"/>
            <w:vMerge/>
          </w:tcPr>
          <w:p w:rsidR="00933B2F" w:rsidRDefault="00933B2F">
            <w:pPr>
              <w:pStyle w:val="ConsPlusNormal"/>
            </w:pPr>
          </w:p>
        </w:tc>
        <w:tc>
          <w:tcPr>
            <w:tcW w:w="3590" w:type="dxa"/>
          </w:tcPr>
          <w:p w:rsidR="00933B2F" w:rsidRDefault="00933B2F">
            <w:pPr>
              <w:pStyle w:val="ConsPlusNormal"/>
              <w:jc w:val="center"/>
            </w:pPr>
            <w:r>
              <w:t>при численности населения городского населенного пункта до 20 тыс. человек на расчетный срок</w:t>
            </w:r>
          </w:p>
        </w:tc>
        <w:tc>
          <w:tcPr>
            <w:tcW w:w="3855" w:type="dxa"/>
          </w:tcPr>
          <w:p w:rsidR="00933B2F" w:rsidRDefault="00933B2F">
            <w:pPr>
              <w:pStyle w:val="ConsPlusNormal"/>
              <w:jc w:val="center"/>
            </w:pPr>
            <w:r>
              <w:t>при численности населения городского населенного пункта свыше 20 тыс. человек на расчетный срок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t>Зона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590" w:type="dxa"/>
          </w:tcPr>
          <w:p w:rsidR="00933B2F" w:rsidRDefault="00933B2F">
            <w:pPr>
              <w:pStyle w:val="ConsPlusNormal"/>
              <w:jc w:val="center"/>
            </w:pPr>
            <w:r>
              <w:t>1/3200</w:t>
            </w:r>
          </w:p>
        </w:tc>
        <w:tc>
          <w:tcPr>
            <w:tcW w:w="3855" w:type="dxa"/>
          </w:tcPr>
          <w:p w:rsidR="00933B2F" w:rsidRDefault="00933B2F">
            <w:pPr>
              <w:pStyle w:val="ConsPlusNormal"/>
              <w:jc w:val="center"/>
            </w:pPr>
            <w:r>
              <w:t>1/1600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t>Зона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590" w:type="dxa"/>
          </w:tcPr>
          <w:p w:rsidR="00933B2F" w:rsidRDefault="00933B2F">
            <w:pPr>
              <w:pStyle w:val="ConsPlusNormal"/>
              <w:jc w:val="center"/>
            </w:pPr>
            <w:r>
              <w:t>1/4800</w:t>
            </w:r>
          </w:p>
        </w:tc>
        <w:tc>
          <w:tcPr>
            <w:tcW w:w="3855" w:type="dxa"/>
          </w:tcPr>
          <w:p w:rsidR="00933B2F" w:rsidRDefault="00933B2F">
            <w:pPr>
              <w:pStyle w:val="ConsPlusNormal"/>
              <w:jc w:val="center"/>
            </w:pPr>
            <w:r>
              <w:t>1/3200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t>Зона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590" w:type="dxa"/>
          </w:tcPr>
          <w:p w:rsidR="00933B2F" w:rsidRDefault="00933B2F">
            <w:pPr>
              <w:pStyle w:val="ConsPlusNormal"/>
              <w:jc w:val="center"/>
            </w:pPr>
            <w:r>
              <w:t>1/7200</w:t>
            </w:r>
          </w:p>
        </w:tc>
        <w:tc>
          <w:tcPr>
            <w:tcW w:w="3855" w:type="dxa"/>
          </w:tcPr>
          <w:p w:rsidR="00933B2F" w:rsidRDefault="00933B2F">
            <w:pPr>
              <w:pStyle w:val="ConsPlusNormal"/>
              <w:jc w:val="center"/>
            </w:pPr>
            <w:r>
              <w:t>1/4800</w:t>
            </w:r>
          </w:p>
        </w:tc>
      </w:tr>
    </w:tbl>
    <w:p w:rsidR="00933B2F" w:rsidRDefault="00933B2F">
      <w:pPr>
        <w:pStyle w:val="ConsPlusNormal"/>
        <w:jc w:val="right"/>
      </w:pPr>
      <w:r>
        <w:t>,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>но не менее 1 места в границах микрорайона/квартала, с оборудованием места для их зарядки. Выделяемые места должны быть оборудованы электрозарядными устройствами, обеспечивающими возможность одновременной зарядки электромобилей в количестве, равном количеству выделяемых парковочных мест; совокупная мощность устанавливаемых электрозарядных устройств не должна быть менее 11 кВт.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При организации мест для стоянки (размещения) индивидуального автотранспорта в границах общественно-деловых зон должны быть предусмотрены места для стоянки (размещения) электромобиля </w:t>
      </w:r>
      <w:proofErr w:type="gramStart"/>
      <w:r>
        <w:t>и(</w:t>
      </w:r>
      <w:proofErr w:type="gramEnd"/>
      <w:r>
        <w:t>или) гибридных автомобилей из расчета:</w:t>
      </w:r>
    </w:p>
    <w:p w:rsidR="00933B2F" w:rsidRDefault="00933B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345"/>
        <w:gridCol w:w="4139"/>
      </w:tblGrid>
      <w:tr w:rsidR="00933B2F">
        <w:tc>
          <w:tcPr>
            <w:tcW w:w="1587" w:type="dxa"/>
            <w:vMerge w:val="restart"/>
          </w:tcPr>
          <w:p w:rsidR="00933B2F" w:rsidRDefault="00933B2F">
            <w:pPr>
              <w:pStyle w:val="ConsPlusNormal"/>
              <w:jc w:val="center"/>
            </w:pPr>
            <w:r>
              <w:t>Зона урбанизации территории</w:t>
            </w:r>
          </w:p>
        </w:tc>
        <w:tc>
          <w:tcPr>
            <w:tcW w:w="7484" w:type="dxa"/>
            <w:gridSpan w:val="2"/>
          </w:tcPr>
          <w:p w:rsidR="00933B2F" w:rsidRDefault="00933B2F">
            <w:pPr>
              <w:pStyle w:val="ConsPlusNormal"/>
              <w:jc w:val="center"/>
            </w:pPr>
            <w:r>
              <w:t xml:space="preserve">Минимально допустимый уровень обеспеченности местами для стоянки (размещения) электромобиля </w:t>
            </w:r>
            <w:proofErr w:type="gramStart"/>
            <w:r>
              <w:t>и(</w:t>
            </w:r>
            <w:proofErr w:type="gramEnd"/>
            <w:r>
              <w:t>или) гибридных автомобилей, % от совокупного количества парковочных мест на открытых стоянках</w:t>
            </w:r>
          </w:p>
        </w:tc>
      </w:tr>
      <w:tr w:rsidR="00933B2F">
        <w:tc>
          <w:tcPr>
            <w:tcW w:w="1587" w:type="dxa"/>
            <w:vMerge/>
          </w:tcPr>
          <w:p w:rsidR="00933B2F" w:rsidRDefault="00933B2F">
            <w:pPr>
              <w:pStyle w:val="ConsPlusNormal"/>
            </w:pPr>
          </w:p>
        </w:tc>
        <w:tc>
          <w:tcPr>
            <w:tcW w:w="3345" w:type="dxa"/>
          </w:tcPr>
          <w:p w:rsidR="00933B2F" w:rsidRDefault="00933B2F">
            <w:pPr>
              <w:pStyle w:val="ConsPlusNormal"/>
              <w:jc w:val="center"/>
            </w:pPr>
            <w:r>
              <w:t>при численности населения городского населенного пункта до 20 тыс. человек на расчетный срок</w:t>
            </w:r>
          </w:p>
        </w:tc>
        <w:tc>
          <w:tcPr>
            <w:tcW w:w="4139" w:type="dxa"/>
          </w:tcPr>
          <w:p w:rsidR="00933B2F" w:rsidRDefault="00933B2F">
            <w:pPr>
              <w:pStyle w:val="ConsPlusNormal"/>
              <w:jc w:val="center"/>
            </w:pPr>
            <w:r>
              <w:t>при численности населения городского населенного пункта свыше 20 тыс. человек на расчетный срок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t>Зона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345" w:type="dxa"/>
          </w:tcPr>
          <w:p w:rsidR="00933B2F" w:rsidRDefault="00933B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33B2F" w:rsidRDefault="00933B2F">
            <w:pPr>
              <w:pStyle w:val="ConsPlusNormal"/>
              <w:jc w:val="center"/>
            </w:pPr>
            <w:r>
              <w:t>6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t>Зона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345" w:type="dxa"/>
          </w:tcPr>
          <w:p w:rsidR="00933B2F" w:rsidRDefault="00933B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33B2F" w:rsidRDefault="00933B2F">
            <w:pPr>
              <w:pStyle w:val="ConsPlusNormal"/>
              <w:jc w:val="center"/>
            </w:pPr>
            <w:r>
              <w:t>3</w:t>
            </w:r>
          </w:p>
        </w:tc>
      </w:tr>
      <w:tr w:rsidR="00933B2F">
        <w:tc>
          <w:tcPr>
            <w:tcW w:w="1587" w:type="dxa"/>
          </w:tcPr>
          <w:p w:rsidR="00933B2F" w:rsidRDefault="00933B2F">
            <w:pPr>
              <w:pStyle w:val="ConsPlusNormal"/>
            </w:pPr>
            <w:r>
              <w:lastRenderedPageBreak/>
              <w:t>Зона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345" w:type="dxa"/>
          </w:tcPr>
          <w:p w:rsidR="00933B2F" w:rsidRDefault="00933B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33B2F" w:rsidRDefault="00933B2F">
            <w:pPr>
              <w:pStyle w:val="ConsPlusNormal"/>
              <w:jc w:val="center"/>
            </w:pPr>
            <w:r>
              <w:t>2</w:t>
            </w:r>
          </w:p>
        </w:tc>
      </w:tr>
    </w:tbl>
    <w:p w:rsidR="00933B2F" w:rsidRDefault="00933B2F">
      <w:pPr>
        <w:pStyle w:val="ConsPlusNormal"/>
        <w:jc w:val="right"/>
      </w:pPr>
      <w:r>
        <w:t>,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>но не менее 1 места в границах общественно-деловой зоны/квартала, с оборудованием места для их зарядки. Выделяемые места должны быть оборудованы электрозарядными устройствами, обеспечивающими возможность одновременной зарядки электромобилей в количестве, равном количеству выделяемых парковочных мест; совокупная мощность устанавливаемых электрозарядных устройств не должна быть менее 11 кВт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8. </w:t>
      </w:r>
      <w:hyperlink r:id="rId25">
        <w:r>
          <w:rPr>
            <w:color w:val="0000FF"/>
          </w:rPr>
          <w:t>Пункт 2.6.10</w:t>
        </w:r>
      </w:hyperlink>
      <w:r>
        <w:t xml:space="preserve">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"2.6.10. Минимальная обеспеченность объектами благоустройства придомовой (дворовой) территории многоквартирных жилых домов</w:t>
      </w:r>
    </w:p>
    <w:p w:rsidR="00933B2F" w:rsidRDefault="00933B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268"/>
      </w:tblGrid>
      <w:tr w:rsidR="00933B2F">
        <w:tc>
          <w:tcPr>
            <w:tcW w:w="6576" w:type="dxa"/>
          </w:tcPr>
          <w:p w:rsidR="00933B2F" w:rsidRDefault="00933B2F">
            <w:pPr>
              <w:pStyle w:val="ConsPlusNormal"/>
              <w:jc w:val="center"/>
            </w:pPr>
            <w:r>
              <w:t>Объекты благоустройства &lt;*&gt;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Удельные размеры, кв. м/чел.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Площадки для игр детей дошкольного и младшего школьного возраста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0,7 &lt;**&gt;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Площадки для отдыха взрослого населения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0,1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Площадки для занятий физкультурой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2,0 &lt;***&gt;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Площадки для хозяйственных целей, в том числе контейнерные площадки для сбора ТКО и крупногабаритного мусора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0,03 &lt;****&gt;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Озелененные территории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5 &lt;*****&gt;</w:t>
            </w:r>
          </w:p>
        </w:tc>
      </w:tr>
      <w:tr w:rsidR="00933B2F">
        <w:tc>
          <w:tcPr>
            <w:tcW w:w="6576" w:type="dxa"/>
          </w:tcPr>
          <w:p w:rsidR="00933B2F" w:rsidRDefault="00933B2F">
            <w:pPr>
              <w:pStyle w:val="ConsPlusNormal"/>
            </w:pPr>
            <w:r>
              <w:t>Открытые наземные стоянки (парковки) легкового транспорта</w:t>
            </w:r>
          </w:p>
        </w:tc>
        <w:tc>
          <w:tcPr>
            <w:tcW w:w="2268" w:type="dxa"/>
          </w:tcPr>
          <w:p w:rsidR="00933B2F" w:rsidRDefault="00933B2F">
            <w:pPr>
              <w:pStyle w:val="ConsPlusNormal"/>
              <w:jc w:val="center"/>
            </w:pPr>
            <w:r>
              <w:t>3,3 &lt;******&gt;</w:t>
            </w:r>
          </w:p>
        </w:tc>
      </w:tr>
    </w:tbl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r>
        <w:t>Примечания.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&lt;*&gt; Площадки для выгула собак предусматривать в границах территории общего пользования элемента планировочной структуры. Удельный размер общей площади площадок для выгула собак - 0,1 кв. м на 1 человека. Размещение площадок необходимо предусматривать на расстоянии от окон жилых и общественных зданий не менее 40 м.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&lt;**&gt; При наличии на территории общего пользования элемента планировочной структуры "площадка для игр детей дошкольного и младшего школьного возраста" размеры площадки для игр детей дошкольного и младшего школьного возраста в границах земельного участка допускается предусматривать исходя из норматива - 0,4 кв. м на 1 человека. При этом уменьшение показателя возможно при сохранении среднего его значения по элементу планировочной структуры не менее 0,7 кв. м на 1 человека.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&lt;***&gt; При наличии на территории общего пользования элемента планировочной структуры "площадка для занятий физкультурой" размеры площадки для занятий физкультурой в границах земельного участка допускается предусматривать исходя из 1,0 кв. м на 1 человека. При этом уменьшение показателя возможно при сохранении среднего его значения по элементу планировочной структуры не менее 2 кв. м на 1 человека.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Размещение площадок для занятий физкультурой необходимо предусматривать на расстоянии от окон жилых и общественных зданий не менее 10-40 м в зависимости от шумовых характеристик. Наибольшие значения следует принимать для хоккейных и футбольных площадок, </w:t>
      </w:r>
      <w:r>
        <w:lastRenderedPageBreak/>
        <w:t>наименьшие - для площадок для настольного тенниса.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&lt;****&gt; Уточняется правилами благоустройства территории муниципального образования.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&lt;*****&gt; При наличии в пешеходной доступности 500 м существующего сада, сквера и/или парка удельный размер озелененной территории допускается предусматривать как 3,5 кв. м на 1 человека.</w:t>
      </w:r>
    </w:p>
    <w:p w:rsidR="00933B2F" w:rsidRDefault="00933B2F">
      <w:pPr>
        <w:pStyle w:val="ConsPlusNormal"/>
        <w:spacing w:before="220"/>
        <w:ind w:firstLine="540"/>
        <w:jc w:val="both"/>
      </w:pPr>
      <w:proofErr w:type="gramStart"/>
      <w:r>
        <w:t>&lt;******&gt; При наличии открытых и закрытых наземных автостоянок вместимостью более 500 машино-мест за границами кварталов, микрорайонов, но в пределах максимально допустимого уровня территориальной доступности автостоянок от места проживания автовладельцев в соответствии с пунктами 2.3.24 и 2.3.27 настоящих нормативов уменьшение показателя возможно при сохранении не менее 20% количества открытых наземных стоянок (парковок) легкового транспорта в границах придомовой территории и сохранении среднего его</w:t>
      </w:r>
      <w:proofErr w:type="gramEnd"/>
      <w:r>
        <w:t xml:space="preserve"> значения по элементу планировочной структуры не менее 3,3 кв. м на 1 человека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9. В </w:t>
      </w:r>
      <w:hyperlink r:id="rId26">
        <w:r>
          <w:rPr>
            <w:color w:val="0000FF"/>
          </w:rPr>
          <w:t>пункте 2.5.1 пункт 2 примечаний</w:t>
        </w:r>
      </w:hyperlink>
      <w:r>
        <w:t xml:space="preserve"> дополнить абзацем следующего содержания: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"допускается отклонение значений показателя плотности жилого фонда брутто в случаях, предусмотренных пунктом 3.1.9 Региональных нормативов градостроительного проектирования Ленинградской области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10. В </w:t>
      </w:r>
      <w:hyperlink r:id="rId27">
        <w:r>
          <w:rPr>
            <w:color w:val="0000FF"/>
          </w:rPr>
          <w:t>пункте 2.6.11</w:t>
        </w:r>
      </w:hyperlink>
      <w:r>
        <w:t>:</w:t>
      </w:r>
    </w:p>
    <w:p w:rsidR="00933B2F" w:rsidRDefault="00933B2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строку</w:t>
        </w:r>
      </w:hyperlink>
      <w:r>
        <w:t xml:space="preserve"> "Участки лечебных учреждений" изложить в следующей редакции: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</w:pPr>
      <w:r>
        <w:t>"</w:t>
      </w:r>
    </w:p>
    <w:p w:rsidR="00933B2F" w:rsidRDefault="00933B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33B2F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33B2F" w:rsidRDefault="00933B2F">
            <w:pPr>
              <w:pStyle w:val="ConsPlusNormal"/>
            </w:pPr>
            <w:r>
              <w:t>Участки лечебных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B2F" w:rsidRDefault="00933B2F">
            <w:pPr>
              <w:pStyle w:val="ConsPlusNormal"/>
              <w:jc w:val="center"/>
            </w:pPr>
            <w:r>
              <w:t>не менее 60 &lt;*&gt;</w:t>
            </w:r>
          </w:p>
        </w:tc>
      </w:tr>
    </w:tbl>
    <w:p w:rsidR="00933B2F" w:rsidRDefault="00933B2F">
      <w:pPr>
        <w:pStyle w:val="ConsPlusNormal"/>
        <w:jc w:val="right"/>
      </w:pPr>
      <w:r>
        <w:t>";</w:t>
      </w:r>
    </w:p>
    <w:p w:rsidR="00933B2F" w:rsidRDefault="00933B2F">
      <w:pPr>
        <w:pStyle w:val="ConsPlusNormal"/>
        <w:ind w:firstLine="540"/>
        <w:jc w:val="both"/>
      </w:pPr>
    </w:p>
    <w:p w:rsidR="00933B2F" w:rsidRDefault="00933B2F">
      <w:pPr>
        <w:pStyle w:val="ConsPlusNormal"/>
        <w:ind w:firstLine="540"/>
        <w:jc w:val="both"/>
      </w:pPr>
      <w:hyperlink r:id="rId29">
        <w:r>
          <w:rPr>
            <w:color w:val="0000FF"/>
          </w:rPr>
          <w:t>дополнить</w:t>
        </w:r>
      </w:hyperlink>
      <w:r>
        <w:t xml:space="preserve"> примечанием следующего содержания: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"Примечание.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&lt;*&gt; Минимальная площадь озеленения может быть изменена с учетом требований "</w:t>
      </w:r>
      <w:hyperlink r:id="rId30">
        <w:r>
          <w:rPr>
            <w:color w:val="0000FF"/>
          </w:rPr>
          <w:t>СП 158.13330.2014</w:t>
        </w:r>
      </w:hyperlink>
      <w:r>
        <w:t>. Свод правил. Здания и помещения медицинских организаций. Правила проектирования</w:t>
      </w:r>
      <w:proofErr w:type="gramStart"/>
      <w:r>
        <w:t>.".</w:t>
      </w:r>
      <w:proofErr w:type="gramEnd"/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11. В части III (Материалы по обоснованию расчетных показателей, содержащихся в основной части местных нормативов) </w:t>
      </w:r>
      <w:hyperlink r:id="rId31">
        <w:r>
          <w:rPr>
            <w:color w:val="0000FF"/>
          </w:rPr>
          <w:t>текст</w:t>
        </w:r>
      </w:hyperlink>
      <w:r>
        <w:t xml:space="preserve"> после подпункта "ж" пункта 3 (иные области в связи с решением вопросов местного значения муниципального района) до </w:t>
      </w:r>
      <w:hyperlink r:id="rId32">
        <w:r>
          <w:rPr>
            <w:color w:val="0000FF"/>
          </w:rPr>
          <w:t>таблицы</w:t>
        </w:r>
      </w:hyperlink>
      <w:r>
        <w:t xml:space="preserve"> (Перечень объектов местного значения, для которых утверждены нормативы градостроительного проектирования) изложить в следующей редакции: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"Вопросы местного значения муниципального района, для решения которых предусмотрены объекты местного значения муниципального района, определены в соответствии со </w:t>
      </w:r>
      <w:hyperlink r:id="rId33">
        <w:r>
          <w:rPr>
            <w:color w:val="0000FF"/>
          </w:rPr>
          <w:t>статьей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от 6 октября 2003 года N 131-ФЗ).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Иные вопросы, для решения которых предусмотрены иные объекты местного значения муниципального района, определены в соответствии со </w:t>
      </w:r>
      <w:hyperlink r:id="rId34">
        <w:r>
          <w:rPr>
            <w:color w:val="0000FF"/>
          </w:rPr>
          <w:t>статьей 15.1</w:t>
        </w:r>
      </w:hyperlink>
      <w:r>
        <w:t xml:space="preserve"> Федерального закона от 6 октября 2003 года N 131-ФЗ.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lastRenderedPageBreak/>
        <w:t xml:space="preserve">Виды объектов местного значения муниципального района, подлежащие отображению в схеме территориального планирования муниципального района, установлены </w:t>
      </w:r>
      <w:hyperlink r:id="rId35">
        <w:r>
          <w:rPr>
            <w:color w:val="0000FF"/>
          </w:rPr>
          <w:t>статьей 4</w:t>
        </w:r>
      </w:hyperlink>
      <w:r>
        <w:t xml:space="preserve"> областного закона от 14 декабря 2011 года N 108-оз "Об отдельных вопросах осуществления градостроительной деятельности на территории Ленинградской области".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36">
        <w:r>
          <w:rPr>
            <w:color w:val="0000FF"/>
          </w:rPr>
          <w:t>частью 5 статьи 23</w:t>
        </w:r>
      </w:hyperlink>
      <w:r>
        <w:t xml:space="preserve"> Градостроительного кодекса Российской Федерации к объектам местного значения городского округа, подлежащим отображению в генеральном плане городского округа, относятся объекты в следующих областях: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а)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б) автомобильные дороги местного значения;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г) иные области в связи с решением вопросов местного значения городского округа.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Вопросы местного значения городского округа, для решения которых предусмотрены объекты местного значения городского округа, определены в соответствии со </w:t>
      </w:r>
      <w:hyperlink r:id="rId37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Иные вопросы, для решения которых предусмотрены иные объекты местного значения городского округа, определены в соответствии со </w:t>
      </w:r>
      <w:hyperlink r:id="rId38">
        <w:r>
          <w:rPr>
            <w:color w:val="0000FF"/>
          </w:rPr>
          <w:t>статьей 16.1</w:t>
        </w:r>
      </w:hyperlink>
      <w:r>
        <w:t xml:space="preserve"> Федерального закона от 6 октября 2003 года N 131-ФЗ.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Виды объектов местного значения городского округа, подлежащие отображению в генеральном плане городского округа, установлены </w:t>
      </w:r>
      <w:hyperlink r:id="rId39">
        <w:r>
          <w:rPr>
            <w:color w:val="0000FF"/>
          </w:rPr>
          <w:t>статьей 6</w:t>
        </w:r>
      </w:hyperlink>
      <w:r>
        <w:t xml:space="preserve"> областного закона от 14 декабря 2011 года N 108-оз "Об отдельных вопросах осуществления градостроительной деятельности на территории Ленинградской области".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5. В соответствии с </w:t>
      </w:r>
      <w:hyperlink r:id="rId40">
        <w:r>
          <w:rPr>
            <w:color w:val="0000FF"/>
          </w:rPr>
          <w:t>частью 5 статьи 23</w:t>
        </w:r>
      </w:hyperlink>
      <w:r>
        <w:t xml:space="preserve"> Градостроительного кодекса Российской Федерации к объектам местного значения поселения, подлежащим отображению в генеральном плане городского округа, поселения, относятся объекты в следующих областях: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а)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б) автомобильные дороги местного значения;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>в) иные области в связи с решением вопросов местного значения поселения.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Вопросы местного значения городского поселения, для решения которых предусмотрены объекты местного значения городского поселения, определены в соответствии со </w:t>
      </w:r>
      <w:hyperlink r:id="rId4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131-ФЗ.</w:t>
      </w:r>
    </w:p>
    <w:p w:rsidR="00933B2F" w:rsidRDefault="00933B2F">
      <w:pPr>
        <w:pStyle w:val="ConsPlusNormal"/>
        <w:spacing w:before="220"/>
        <w:ind w:firstLine="540"/>
        <w:jc w:val="both"/>
      </w:pPr>
      <w:proofErr w:type="gramStart"/>
      <w:r>
        <w:t xml:space="preserve">Вопросы местного значения сельского поселения, для решения которых предусмотрены объекты местного значения сельского поселения, определены </w:t>
      </w:r>
      <w:hyperlink r:id="rId42">
        <w:r>
          <w:rPr>
            <w:color w:val="0000FF"/>
          </w:rPr>
          <w:t>пунктами 1</w:t>
        </w:r>
      </w:hyperlink>
      <w:r>
        <w:t xml:space="preserve"> - </w:t>
      </w:r>
      <w:hyperlink r:id="rId43">
        <w:r>
          <w:rPr>
            <w:color w:val="0000FF"/>
          </w:rPr>
          <w:t>3</w:t>
        </w:r>
      </w:hyperlink>
      <w:r>
        <w:t xml:space="preserve">, </w:t>
      </w:r>
      <w:hyperlink r:id="rId44">
        <w:r>
          <w:rPr>
            <w:color w:val="0000FF"/>
          </w:rPr>
          <w:t>9</w:t>
        </w:r>
      </w:hyperlink>
      <w:r>
        <w:t xml:space="preserve">, </w:t>
      </w:r>
      <w:hyperlink r:id="rId45">
        <w:r>
          <w:rPr>
            <w:color w:val="0000FF"/>
          </w:rPr>
          <w:t>10</w:t>
        </w:r>
      </w:hyperlink>
      <w:r>
        <w:t xml:space="preserve">, </w:t>
      </w:r>
      <w:hyperlink r:id="rId46">
        <w:r>
          <w:rPr>
            <w:color w:val="0000FF"/>
          </w:rPr>
          <w:t>12</w:t>
        </w:r>
      </w:hyperlink>
      <w:r>
        <w:t xml:space="preserve">, </w:t>
      </w:r>
      <w:hyperlink r:id="rId47">
        <w:r>
          <w:rPr>
            <w:color w:val="0000FF"/>
          </w:rPr>
          <w:t>14</w:t>
        </w:r>
      </w:hyperlink>
      <w:r>
        <w:t xml:space="preserve">, </w:t>
      </w:r>
      <w:hyperlink r:id="rId48">
        <w:r>
          <w:rPr>
            <w:color w:val="0000FF"/>
          </w:rPr>
          <w:t>17</w:t>
        </w:r>
      </w:hyperlink>
      <w:r>
        <w:t xml:space="preserve">, </w:t>
      </w:r>
      <w:hyperlink r:id="rId49">
        <w:r>
          <w:rPr>
            <w:color w:val="0000FF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50">
        <w:r>
          <w:rPr>
            <w:color w:val="0000FF"/>
          </w:rPr>
          <w:t>20</w:t>
        </w:r>
      </w:hyperlink>
      <w:r>
        <w:t xml:space="preserve"> (в части принятия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t xml:space="preserve"> о сносе самовольной постройки или приведении ее в соответствие с установленными требованиями), </w:t>
      </w:r>
      <w:hyperlink r:id="rId51">
        <w:r>
          <w:rPr>
            <w:color w:val="0000FF"/>
          </w:rPr>
          <w:t>21</w:t>
        </w:r>
      </w:hyperlink>
      <w:r>
        <w:t xml:space="preserve">, </w:t>
      </w:r>
      <w:hyperlink r:id="rId52">
        <w:r>
          <w:rPr>
            <w:color w:val="0000FF"/>
          </w:rPr>
          <w:t>28</w:t>
        </w:r>
      </w:hyperlink>
      <w:r>
        <w:t xml:space="preserve">, </w:t>
      </w:r>
      <w:hyperlink r:id="rId53">
        <w:r>
          <w:rPr>
            <w:color w:val="0000FF"/>
          </w:rPr>
          <w:t>30</w:t>
        </w:r>
      </w:hyperlink>
      <w:r>
        <w:t xml:space="preserve">, </w:t>
      </w:r>
      <w:hyperlink r:id="rId54">
        <w:r>
          <w:rPr>
            <w:color w:val="0000FF"/>
          </w:rPr>
          <w:t>33 части 1 статьи 14</w:t>
        </w:r>
      </w:hyperlink>
      <w:r>
        <w:t xml:space="preserve"> Федерального закона от 6 октября 2003 года N 131-ФЗ. Областным </w:t>
      </w:r>
      <w:hyperlink r:id="rId55">
        <w:r>
          <w:rPr>
            <w:color w:val="0000FF"/>
          </w:rPr>
          <w:t>законом</w:t>
        </w:r>
      </w:hyperlink>
      <w:r>
        <w:t xml:space="preserve"> от 10 июля 2014 года N 48-оз "Об отдельных вопросах местного значения сельских поселений Ленинградской области" за сельскими поселениями закреплены также другие вопросы из числа предусмотренных </w:t>
      </w:r>
      <w:hyperlink r:id="rId56">
        <w:r>
          <w:rPr>
            <w:color w:val="0000FF"/>
          </w:rPr>
          <w:t>частью 1 статьи 14</w:t>
        </w:r>
      </w:hyperlink>
      <w:r>
        <w:t xml:space="preserve"> Федерального закона от 6 октября 2003 года N 131-ФЗ вопросов местного значения </w:t>
      </w:r>
      <w:r>
        <w:lastRenderedPageBreak/>
        <w:t>городских поселений.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Иные вопросы местного значения, предусмотренные </w:t>
      </w:r>
      <w:hyperlink r:id="rId57">
        <w:r>
          <w:rPr>
            <w:color w:val="0000FF"/>
          </w:rPr>
          <w:t>частью 1 статьи 14</w:t>
        </w:r>
      </w:hyperlink>
      <w:r>
        <w:t xml:space="preserve"> Федерального закона от 6 октября 2003 года N 131-ФЗ для городских поселений, не отнесенные к вопросам местного значения сельских поселений,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Иные вопросы, для решения которых предусмотрены иные объекты местного значения поселения, определены в соответствии со </w:t>
      </w:r>
      <w:hyperlink r:id="rId58">
        <w:r>
          <w:rPr>
            <w:color w:val="0000FF"/>
          </w:rPr>
          <w:t>статьей 14.1</w:t>
        </w:r>
      </w:hyperlink>
      <w:r>
        <w:t xml:space="preserve"> Федерального закона от 6 октября 2003 года N 131-ФЗ.</w:t>
      </w:r>
    </w:p>
    <w:p w:rsidR="00933B2F" w:rsidRDefault="00933B2F">
      <w:pPr>
        <w:pStyle w:val="ConsPlusNormal"/>
        <w:spacing w:before="220"/>
        <w:ind w:firstLine="540"/>
        <w:jc w:val="both"/>
      </w:pPr>
      <w:r>
        <w:t xml:space="preserve">Виды объектов местного значения поселения, подлежащие отображению в генеральном плане поселения, установлены </w:t>
      </w:r>
      <w:hyperlink r:id="rId59">
        <w:r>
          <w:rPr>
            <w:color w:val="0000FF"/>
          </w:rPr>
          <w:t>статьей 5</w:t>
        </w:r>
      </w:hyperlink>
      <w:r>
        <w:t xml:space="preserve"> областного закона от 14 декабря 2011 года N 108-оз "Об отдельных вопросах осуществления градостроительной деятельности на территории Ленинградской области"</w:t>
      </w:r>
      <w:proofErr w:type="gramStart"/>
      <w:r>
        <w:t>."</w:t>
      </w:r>
      <w:proofErr w:type="gramEnd"/>
      <w:r>
        <w:t>.</w:t>
      </w:r>
    </w:p>
    <w:p w:rsidR="00933B2F" w:rsidRDefault="00933B2F">
      <w:pPr>
        <w:pStyle w:val="ConsPlusNormal"/>
      </w:pPr>
    </w:p>
    <w:p w:rsidR="00933B2F" w:rsidRDefault="00933B2F">
      <w:pPr>
        <w:pStyle w:val="ConsPlusNormal"/>
      </w:pPr>
    </w:p>
    <w:p w:rsidR="00933B2F" w:rsidRDefault="00933B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2F"/>
    <w:rsid w:val="00871298"/>
    <w:rsid w:val="00933B2F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B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B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675&amp;dst=3219" TargetMode="External"/><Relationship Id="rId18" Type="http://schemas.openxmlformats.org/officeDocument/2006/relationships/hyperlink" Target="https://login.consultant.ru/link/?req=doc&amp;base=STR&amp;n=29176&amp;dst=102441" TargetMode="External"/><Relationship Id="rId26" Type="http://schemas.openxmlformats.org/officeDocument/2006/relationships/hyperlink" Target="https://login.consultant.ru/link/?req=doc&amp;base=SPB&amp;n=265485&amp;dst=101186" TargetMode="External"/><Relationship Id="rId39" Type="http://schemas.openxmlformats.org/officeDocument/2006/relationships/hyperlink" Target="https://login.consultant.ru/link/?req=doc&amp;base=SPB&amp;n=272096&amp;dst=100051" TargetMode="External"/><Relationship Id="rId21" Type="http://schemas.openxmlformats.org/officeDocument/2006/relationships/hyperlink" Target="https://login.consultant.ru/link/?req=doc&amp;base=SPB&amp;n=265485&amp;dst=100872" TargetMode="External"/><Relationship Id="rId34" Type="http://schemas.openxmlformats.org/officeDocument/2006/relationships/hyperlink" Target="https://login.consultant.ru/link/?req=doc&amp;base=LAW&amp;n=448197&amp;dst=101113" TargetMode="External"/><Relationship Id="rId42" Type="http://schemas.openxmlformats.org/officeDocument/2006/relationships/hyperlink" Target="https://login.consultant.ru/link/?req=doc&amp;base=LAW&amp;n=448197&amp;dst=536" TargetMode="External"/><Relationship Id="rId47" Type="http://schemas.openxmlformats.org/officeDocument/2006/relationships/hyperlink" Target="https://login.consultant.ru/link/?req=doc&amp;base=LAW&amp;n=448197&amp;dst=662" TargetMode="External"/><Relationship Id="rId50" Type="http://schemas.openxmlformats.org/officeDocument/2006/relationships/hyperlink" Target="https://login.consultant.ru/link/?req=doc&amp;base=LAW&amp;n=448197&amp;dst=889" TargetMode="External"/><Relationship Id="rId55" Type="http://schemas.openxmlformats.org/officeDocument/2006/relationships/hyperlink" Target="https://login.consultant.ru/link/?req=doc&amp;base=SPB&amp;n=244560" TargetMode="External"/><Relationship Id="rId7" Type="http://schemas.openxmlformats.org/officeDocument/2006/relationships/hyperlink" Target="https://login.consultant.ru/link/?req=doc&amp;base=SPB&amp;n=267421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TR&amp;n=29176&amp;dst=104394" TargetMode="External"/><Relationship Id="rId29" Type="http://schemas.openxmlformats.org/officeDocument/2006/relationships/hyperlink" Target="https://login.consultant.ru/link/?req=doc&amp;base=SPB&amp;n=265485&amp;dst=101251" TargetMode="External"/><Relationship Id="rId11" Type="http://schemas.openxmlformats.org/officeDocument/2006/relationships/hyperlink" Target="https://login.consultant.ru/link/?req=doc&amp;base=STR&amp;n=29176&amp;dst=104394" TargetMode="External"/><Relationship Id="rId24" Type="http://schemas.openxmlformats.org/officeDocument/2006/relationships/hyperlink" Target="https://login.consultant.ru/link/?req=doc&amp;base=SPB&amp;n=265485&amp;dst=100013" TargetMode="External"/><Relationship Id="rId32" Type="http://schemas.openxmlformats.org/officeDocument/2006/relationships/hyperlink" Target="https://login.consultant.ru/link/?req=doc&amp;base=SPB&amp;n=265485&amp;dst=101432" TargetMode="External"/><Relationship Id="rId37" Type="http://schemas.openxmlformats.org/officeDocument/2006/relationships/hyperlink" Target="https://login.consultant.ru/link/?req=doc&amp;base=LAW&amp;n=448197&amp;dst=101356" TargetMode="External"/><Relationship Id="rId40" Type="http://schemas.openxmlformats.org/officeDocument/2006/relationships/hyperlink" Target="https://login.consultant.ru/link/?req=doc&amp;base=LAW&amp;n=449675&amp;dst=101685" TargetMode="External"/><Relationship Id="rId45" Type="http://schemas.openxmlformats.org/officeDocument/2006/relationships/hyperlink" Target="https://login.consultant.ru/link/?req=doc&amp;base=LAW&amp;n=448197&amp;dst=100125" TargetMode="External"/><Relationship Id="rId53" Type="http://schemas.openxmlformats.org/officeDocument/2006/relationships/hyperlink" Target="https://login.consultant.ru/link/?req=doc&amp;base=LAW&amp;n=448197&amp;dst=101026" TargetMode="External"/><Relationship Id="rId58" Type="http://schemas.openxmlformats.org/officeDocument/2006/relationships/hyperlink" Target="https://login.consultant.ru/link/?req=doc&amp;base=LAW&amp;n=448197&amp;dst=429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SPB&amp;n=265485&amp;dst=100647" TargetMode="External"/><Relationship Id="rId14" Type="http://schemas.openxmlformats.org/officeDocument/2006/relationships/hyperlink" Target="https://login.consultant.ru/link/?req=doc&amp;base=SPB&amp;n=265485&amp;dst=101933" TargetMode="External"/><Relationship Id="rId22" Type="http://schemas.openxmlformats.org/officeDocument/2006/relationships/hyperlink" Target="https://login.consultant.ru/link/?req=doc&amp;base=SPB&amp;n=265485&amp;dst=100875" TargetMode="External"/><Relationship Id="rId27" Type="http://schemas.openxmlformats.org/officeDocument/2006/relationships/hyperlink" Target="https://login.consultant.ru/link/?req=doc&amp;base=SPB&amp;n=265485&amp;dst=101251" TargetMode="External"/><Relationship Id="rId30" Type="http://schemas.openxmlformats.org/officeDocument/2006/relationships/hyperlink" Target="https://login.consultant.ru/link/?req=doc&amp;base=STR&amp;n=27263" TargetMode="External"/><Relationship Id="rId35" Type="http://schemas.openxmlformats.org/officeDocument/2006/relationships/hyperlink" Target="https://login.consultant.ru/link/?req=doc&amp;base=SPB&amp;n=272096&amp;dst=100213" TargetMode="External"/><Relationship Id="rId43" Type="http://schemas.openxmlformats.org/officeDocument/2006/relationships/hyperlink" Target="https://login.consultant.ru/link/?req=doc&amp;base=LAW&amp;n=448197&amp;dst=100118" TargetMode="External"/><Relationship Id="rId48" Type="http://schemas.openxmlformats.org/officeDocument/2006/relationships/hyperlink" Target="https://login.consultant.ru/link/?req=doc&amp;base=LAW&amp;n=448197&amp;dst=100132" TargetMode="External"/><Relationship Id="rId56" Type="http://schemas.openxmlformats.org/officeDocument/2006/relationships/hyperlink" Target="https://login.consultant.ru/link/?req=doc&amp;base=LAW&amp;n=448197&amp;dst=426" TargetMode="External"/><Relationship Id="rId8" Type="http://schemas.openxmlformats.org/officeDocument/2006/relationships/hyperlink" Target="https://login.consultant.ru/link/?req=doc&amp;base=SPB&amp;n=265485&amp;dst=100013" TargetMode="External"/><Relationship Id="rId51" Type="http://schemas.openxmlformats.org/officeDocument/2006/relationships/hyperlink" Target="https://login.consultant.ru/link/?req=doc&amp;base=LAW&amp;n=448197&amp;dst=4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8719&amp;dst=100145" TargetMode="External"/><Relationship Id="rId17" Type="http://schemas.openxmlformats.org/officeDocument/2006/relationships/hyperlink" Target="https://login.consultant.ru/link/?req=doc&amp;base=OTN&amp;n=27560" TargetMode="External"/><Relationship Id="rId25" Type="http://schemas.openxmlformats.org/officeDocument/2006/relationships/hyperlink" Target="https://login.consultant.ru/link/?req=doc&amp;base=SPB&amp;n=265485&amp;dst=101229" TargetMode="External"/><Relationship Id="rId33" Type="http://schemas.openxmlformats.org/officeDocument/2006/relationships/hyperlink" Target="https://login.consultant.ru/link/?req=doc&amp;base=LAW&amp;n=448197&amp;dst=100139" TargetMode="External"/><Relationship Id="rId38" Type="http://schemas.openxmlformats.org/officeDocument/2006/relationships/hyperlink" Target="https://login.consultant.ru/link/?req=doc&amp;base=LAW&amp;n=448197&amp;dst=101393" TargetMode="External"/><Relationship Id="rId46" Type="http://schemas.openxmlformats.org/officeDocument/2006/relationships/hyperlink" Target="https://login.consultant.ru/link/?req=doc&amp;base=LAW&amp;n=448197&amp;dst=100127" TargetMode="External"/><Relationship Id="rId59" Type="http://schemas.openxmlformats.org/officeDocument/2006/relationships/hyperlink" Target="https://login.consultant.ru/link/?req=doc&amp;base=SPB&amp;n=272096&amp;dst=100040" TargetMode="External"/><Relationship Id="rId20" Type="http://schemas.openxmlformats.org/officeDocument/2006/relationships/hyperlink" Target="https://login.consultant.ru/link/?req=doc&amp;base=SPB&amp;n=265485&amp;dst=100746" TargetMode="External"/><Relationship Id="rId41" Type="http://schemas.openxmlformats.org/officeDocument/2006/relationships/hyperlink" Target="https://login.consultant.ru/link/?req=doc&amp;base=LAW&amp;n=448197&amp;dst=425" TargetMode="External"/><Relationship Id="rId54" Type="http://schemas.openxmlformats.org/officeDocument/2006/relationships/hyperlink" Target="https://login.consultant.ru/link/?req=doc&amp;base=LAW&amp;n=448197&amp;dst=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75&amp;dst=101856" TargetMode="External"/><Relationship Id="rId15" Type="http://schemas.openxmlformats.org/officeDocument/2006/relationships/hyperlink" Target="https://login.consultant.ru/link/?req=doc&amp;base=SPB&amp;n=265485&amp;dst=100183" TargetMode="External"/><Relationship Id="rId23" Type="http://schemas.openxmlformats.org/officeDocument/2006/relationships/hyperlink" Target="https://login.consultant.ru/link/?req=doc&amp;base=SPB&amp;n=265485&amp;dst=100872" TargetMode="External"/><Relationship Id="rId28" Type="http://schemas.openxmlformats.org/officeDocument/2006/relationships/hyperlink" Target="https://login.consultant.ru/link/?req=doc&amp;base=SPB&amp;n=265485&amp;dst=101258" TargetMode="External"/><Relationship Id="rId36" Type="http://schemas.openxmlformats.org/officeDocument/2006/relationships/hyperlink" Target="https://login.consultant.ru/link/?req=doc&amp;base=LAW&amp;n=449675&amp;dst=101685" TargetMode="External"/><Relationship Id="rId49" Type="http://schemas.openxmlformats.org/officeDocument/2006/relationships/hyperlink" Target="https://login.consultant.ru/link/?req=doc&amp;base=LAW&amp;n=448197&amp;dst=996" TargetMode="External"/><Relationship Id="rId57" Type="http://schemas.openxmlformats.org/officeDocument/2006/relationships/hyperlink" Target="https://login.consultant.ru/link/?req=doc&amp;base=LAW&amp;n=448197&amp;dst=426" TargetMode="External"/><Relationship Id="rId10" Type="http://schemas.openxmlformats.org/officeDocument/2006/relationships/hyperlink" Target="https://login.consultant.ru/link/?req=doc&amp;base=SPB&amp;n=265485&amp;dst=101924" TargetMode="External"/><Relationship Id="rId31" Type="http://schemas.openxmlformats.org/officeDocument/2006/relationships/hyperlink" Target="https://login.consultant.ru/link/?req=doc&amp;base=SPB&amp;n=265485&amp;dst=101307" TargetMode="External"/><Relationship Id="rId44" Type="http://schemas.openxmlformats.org/officeDocument/2006/relationships/hyperlink" Target="https://login.consultant.ru/link/?req=doc&amp;base=LAW&amp;n=448197&amp;dst=100124" TargetMode="External"/><Relationship Id="rId52" Type="http://schemas.openxmlformats.org/officeDocument/2006/relationships/hyperlink" Target="https://login.consultant.ru/link/?req=doc&amp;base=LAW&amp;n=448197&amp;dst=12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5485&amp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2024-02-29T09:26:00Z</dcterms:created>
  <dcterms:modified xsi:type="dcterms:W3CDTF">2024-02-29T09:26:00Z</dcterms:modified>
</cp:coreProperties>
</file>